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lang w:val="en-US" w:eastAsia="zh-CN"/>
        </w:rPr>
        <w:t>重庆北碚稠州村镇银行有限责任公司</w:t>
      </w:r>
      <w:r>
        <w:rPr>
          <w:rFonts w:hint="eastAsia" w:ascii="方正小标宋简体" w:hAnsi="方正小标宋简体" w:eastAsia="方正小标宋简体" w:cs="方正小标宋简体"/>
          <w:b/>
          <w:sz w:val="36"/>
          <w:szCs w:val="36"/>
          <w:highlight w:val="none"/>
        </w:rPr>
        <w:t>202</w:t>
      </w:r>
      <w:r>
        <w:rPr>
          <w:rFonts w:hint="eastAsia" w:ascii="方正小标宋简体" w:hAnsi="方正小标宋简体" w:eastAsia="方正小标宋简体" w:cs="方正小标宋简体"/>
          <w:b/>
          <w:sz w:val="36"/>
          <w:szCs w:val="36"/>
          <w:highlight w:val="none"/>
          <w:lang w:val="en-US" w:eastAsia="zh-CN"/>
        </w:rPr>
        <w:t>5</w:t>
      </w:r>
      <w:r>
        <w:rPr>
          <w:rFonts w:hint="eastAsia" w:ascii="方正小标宋简体" w:hAnsi="方正小标宋简体" w:eastAsia="方正小标宋简体" w:cs="方正小标宋简体"/>
          <w:b/>
          <w:sz w:val="36"/>
          <w:szCs w:val="36"/>
          <w:highlight w:val="none"/>
        </w:rPr>
        <w:t>年度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信息披露报告</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仿宋_GB2312" w:cs="Times New Roman"/>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eastAsia" w:ascii="宋体" w:hAnsi="宋体" w:cs="宋体"/>
          <w:b/>
          <w:sz w:val="18"/>
          <w:szCs w:val="18"/>
          <w:highlight w:val="none"/>
        </w:rPr>
      </w:pPr>
      <w:r>
        <w:rPr>
          <w:rFonts w:hint="eastAsia" w:ascii="Times New Roman" w:hAnsi="Times New Roman" w:eastAsia="仿宋_GB2312" w:cs="Times New Roman"/>
          <w:sz w:val="30"/>
          <w:szCs w:val="30"/>
          <w:highlight w:val="none"/>
          <w:lang w:val="en-US" w:eastAsia="zh-CN"/>
        </w:rPr>
        <w:t>重庆北碚稠州村镇银行有限责任公司</w:t>
      </w:r>
      <w:r>
        <w:rPr>
          <w:rFonts w:hint="eastAsia" w:ascii="Times New Roman" w:hAnsi="Times New Roman" w:eastAsia="仿宋_GB2312" w:cs="Times New Roman"/>
          <w:sz w:val="30"/>
          <w:szCs w:val="30"/>
          <w:highlight w:val="none"/>
        </w:rPr>
        <w:t>202</w:t>
      </w:r>
      <w:r>
        <w:rPr>
          <w:rFonts w:hint="eastAsia" w:ascii="Times New Roman" w:hAnsi="Times New Roman" w:eastAsia="仿宋_GB2312" w:cs="Times New Roman"/>
          <w:sz w:val="30"/>
          <w:szCs w:val="30"/>
          <w:highlight w:val="none"/>
          <w:lang w:val="en-US" w:eastAsia="zh-CN"/>
        </w:rPr>
        <w:t>5</w:t>
      </w:r>
      <w:r>
        <w:rPr>
          <w:rFonts w:hint="eastAsia" w:ascii="Times New Roman" w:hAnsi="Times New Roman" w:eastAsia="仿宋_GB2312" w:cs="Times New Roman"/>
          <w:sz w:val="30"/>
          <w:szCs w:val="30"/>
          <w:highlight w:val="none"/>
        </w:rPr>
        <w:t>年度信息披露报告</w:t>
      </w:r>
      <w:r>
        <w:rPr>
          <w:rFonts w:hint="eastAsia" w:eastAsia="仿宋_GB2312" w:cs="Times New Roman"/>
          <w:sz w:val="30"/>
          <w:szCs w:val="30"/>
          <w:highlight w:val="none"/>
          <w:lang w:val="en-US" w:eastAsia="zh-CN"/>
        </w:rPr>
        <w:t>内容</w:t>
      </w:r>
      <w:r>
        <w:rPr>
          <w:rFonts w:hint="eastAsia" w:ascii="Times New Roman" w:hAnsi="Times New Roman" w:eastAsia="仿宋_GB2312" w:cs="Times New Roman"/>
          <w:sz w:val="30"/>
          <w:szCs w:val="30"/>
          <w:highlight w:val="none"/>
          <w:lang w:val="en-US" w:eastAsia="zh-CN"/>
        </w:rPr>
        <w:t>如下：</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重要提示</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1.1</w:t>
      </w:r>
      <w:r>
        <w:rPr>
          <w:rFonts w:hint="default" w:ascii="Times New Roman" w:hAnsi="Times New Roman" w:eastAsia="仿宋_GB2312" w:cs="Times New Roman"/>
          <w:sz w:val="30"/>
          <w:szCs w:val="30"/>
          <w:highlight w:val="none"/>
          <w:lang w:eastAsia="zh-CN"/>
        </w:rPr>
        <w:t>重庆北碚稠州</w:t>
      </w:r>
      <w:r>
        <w:rPr>
          <w:rFonts w:hint="default" w:ascii="Times New Roman" w:hAnsi="Times New Roman" w:eastAsia="仿宋_GB2312" w:cs="Times New Roman"/>
          <w:sz w:val="30"/>
          <w:szCs w:val="30"/>
          <w:highlight w:val="none"/>
        </w:rPr>
        <w:t>村镇银行</w:t>
      </w:r>
      <w:r>
        <w:rPr>
          <w:rFonts w:hint="default" w:ascii="Times New Roman" w:hAnsi="Times New Roman" w:eastAsia="仿宋_GB2312" w:cs="Times New Roman"/>
          <w:sz w:val="30"/>
          <w:szCs w:val="30"/>
          <w:highlight w:val="none"/>
          <w:lang w:val="en-US" w:eastAsia="zh-CN"/>
        </w:rPr>
        <w:t>有限责任公司</w:t>
      </w:r>
      <w:r>
        <w:rPr>
          <w:rFonts w:hint="default" w:ascii="Times New Roman" w:hAnsi="Times New Roman" w:eastAsia="仿宋_GB2312" w:cs="Times New Roman"/>
          <w:sz w:val="30"/>
          <w:szCs w:val="30"/>
          <w:highlight w:val="none"/>
        </w:rPr>
        <w:t>（以下简称“本公司”或“本行”）董事会、</w:t>
      </w:r>
      <w:r>
        <w:rPr>
          <w:rFonts w:hint="eastAsia" w:eastAsia="仿宋_GB2312" w:cs="Times New Roman"/>
          <w:sz w:val="30"/>
          <w:szCs w:val="30"/>
          <w:highlight w:val="none"/>
          <w:lang w:val="en-US" w:eastAsia="zh-CN"/>
        </w:rPr>
        <w:t>审计委员会</w:t>
      </w:r>
      <w:r>
        <w:rPr>
          <w:rFonts w:hint="default" w:ascii="Times New Roman" w:hAnsi="Times New Roman" w:eastAsia="仿宋_GB2312" w:cs="Times New Roman"/>
          <w:sz w:val="30"/>
          <w:szCs w:val="30"/>
          <w:highlight w:val="none"/>
        </w:rPr>
        <w:t>及董事、</w:t>
      </w:r>
      <w:r>
        <w:rPr>
          <w:rFonts w:hint="eastAsia" w:eastAsia="仿宋_GB2312" w:cs="Times New Roman"/>
          <w:sz w:val="30"/>
          <w:szCs w:val="30"/>
          <w:highlight w:val="none"/>
          <w:lang w:val="en-US" w:eastAsia="zh-CN"/>
        </w:rPr>
        <w:t>审计委员会成员</w:t>
      </w:r>
      <w:r>
        <w:rPr>
          <w:rFonts w:hint="default" w:ascii="Times New Roman" w:hAnsi="Times New Roman" w:eastAsia="仿宋_GB2312" w:cs="Times New Roman"/>
          <w:sz w:val="30"/>
          <w:szCs w:val="30"/>
          <w:highlight w:val="none"/>
        </w:rPr>
        <w:t>、高级管理人员保证本报告所载资料不存在任何虚假记载、误导性陈述或者重大遗漏，并对其内容的真实性、准确性和完整性承担个别及连带责任。</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sz w:val="30"/>
          <w:szCs w:val="30"/>
          <w:highlight w:val="none"/>
        </w:rPr>
        <w:t>1.2上会会计师事务所</w:t>
      </w:r>
      <w:r>
        <w:rPr>
          <w:rFonts w:hint="default" w:ascii="Times New Roman" w:hAnsi="Times New Roman" w:eastAsia="仿宋_GB2312" w:cs="Times New Roman"/>
          <w:kern w:val="0"/>
          <w:sz w:val="30"/>
          <w:szCs w:val="30"/>
          <w:highlight w:val="none"/>
        </w:rPr>
        <w:t>为本公司出具了标准无保留意见的审计报告。</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1.3</w:t>
      </w:r>
      <w:r>
        <w:rPr>
          <w:rFonts w:hint="default" w:ascii="Times New Roman" w:hAnsi="Times New Roman" w:eastAsia="仿宋_GB2312" w:cs="Times New Roman"/>
          <w:kern w:val="0"/>
          <w:sz w:val="30"/>
          <w:szCs w:val="30"/>
          <w:highlight w:val="none"/>
        </w:rPr>
        <w:t>公司法定代表人</w:t>
      </w:r>
      <w:r>
        <w:rPr>
          <w:rFonts w:hint="default" w:ascii="Times New Roman" w:hAnsi="Times New Roman" w:eastAsia="仿宋_GB2312" w:cs="Times New Roman"/>
          <w:kern w:val="0"/>
          <w:sz w:val="30"/>
          <w:szCs w:val="30"/>
          <w:highlight w:val="none"/>
          <w:lang w:val="en-US" w:eastAsia="zh-CN"/>
        </w:rPr>
        <w:t>金庆洪</w:t>
      </w:r>
      <w:r>
        <w:rPr>
          <w:rFonts w:hint="default" w:ascii="Times New Roman" w:hAnsi="Times New Roman" w:eastAsia="仿宋_GB2312" w:cs="Times New Roman"/>
          <w:kern w:val="0"/>
          <w:sz w:val="30"/>
          <w:szCs w:val="30"/>
          <w:highlight w:val="none"/>
        </w:rPr>
        <w:t>先生、行长</w:t>
      </w:r>
      <w:r>
        <w:rPr>
          <w:rFonts w:hint="default" w:ascii="Times New Roman" w:hAnsi="Times New Roman" w:eastAsia="仿宋_GB2312" w:cs="Times New Roman"/>
          <w:kern w:val="0"/>
          <w:sz w:val="30"/>
          <w:szCs w:val="30"/>
          <w:highlight w:val="none"/>
          <w:lang w:val="en-US" w:eastAsia="zh-CN"/>
        </w:rPr>
        <w:t>陈余娟女士</w:t>
      </w:r>
      <w:r>
        <w:rPr>
          <w:rFonts w:hint="default" w:ascii="Times New Roman" w:hAnsi="Times New Roman" w:eastAsia="仿宋_GB2312" w:cs="Times New Roman"/>
          <w:kern w:val="0"/>
          <w:sz w:val="30"/>
          <w:szCs w:val="30"/>
          <w:highlight w:val="none"/>
        </w:rPr>
        <w:t>、运营管理部负责人</w:t>
      </w:r>
      <w:r>
        <w:rPr>
          <w:rFonts w:hint="eastAsia" w:eastAsia="仿宋_GB2312" w:cs="Times New Roman"/>
          <w:kern w:val="0"/>
          <w:sz w:val="30"/>
          <w:szCs w:val="30"/>
          <w:highlight w:val="none"/>
          <w:lang w:val="en-US" w:eastAsia="zh-CN"/>
        </w:rPr>
        <w:t>李思岚女士</w:t>
      </w:r>
      <w:r>
        <w:rPr>
          <w:rFonts w:hint="default" w:ascii="Times New Roman" w:hAnsi="Times New Roman" w:eastAsia="仿宋_GB2312" w:cs="Times New Roman"/>
          <w:kern w:val="0"/>
          <w:sz w:val="30"/>
          <w:szCs w:val="30"/>
          <w:highlight w:val="none"/>
        </w:rPr>
        <w:t>声明：保证年度报告中财务数据的真实、完整。</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2</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本公司基本情况简介</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kern w:val="0"/>
          <w:sz w:val="30"/>
          <w:szCs w:val="30"/>
          <w:highlight w:val="none"/>
        </w:rPr>
        <w:t>2.1基本情况简介</w:t>
      </w:r>
    </w:p>
    <w:tbl>
      <w:tblPr>
        <w:tblStyle w:val="4"/>
        <w:tblW w:w="8320" w:type="dxa"/>
        <w:jc w:val="center"/>
        <w:tblLayout w:type="fixed"/>
        <w:tblCellMar>
          <w:top w:w="0" w:type="dxa"/>
          <w:left w:w="0" w:type="dxa"/>
          <w:bottom w:w="0" w:type="dxa"/>
          <w:right w:w="0" w:type="dxa"/>
        </w:tblCellMar>
      </w:tblPr>
      <w:tblGrid>
        <w:gridCol w:w="2788"/>
        <w:gridCol w:w="5532"/>
      </w:tblGrid>
      <w:tr>
        <w:tblPrEx>
          <w:tblCellMar>
            <w:top w:w="0" w:type="dxa"/>
            <w:left w:w="0" w:type="dxa"/>
            <w:bottom w:w="0" w:type="dxa"/>
            <w:right w:w="0" w:type="dxa"/>
          </w:tblCellMar>
        </w:tblPrEx>
        <w:trPr>
          <w:trHeight w:val="575"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法定中文名称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公司（简称：</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w:t>
            </w:r>
          </w:p>
        </w:tc>
      </w:tr>
      <w:tr>
        <w:tblPrEx>
          <w:tblCellMar>
            <w:top w:w="0" w:type="dxa"/>
            <w:left w:w="0" w:type="dxa"/>
            <w:bottom w:w="0" w:type="dxa"/>
            <w:right w:w="0" w:type="dxa"/>
          </w:tblCellMar>
        </w:tblPrEx>
        <w:trPr>
          <w:trHeight w:val="350"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法定英文名称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pStyle w:val="6"/>
              <w:spacing w:line="500" w:lineRule="exact"/>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CHONGQING BEIBEI CHOUZHOU RURAL BANK</w:t>
            </w:r>
          </w:p>
        </w:tc>
      </w:tr>
      <w:tr>
        <w:tblPrEx>
          <w:tblCellMar>
            <w:top w:w="0" w:type="dxa"/>
            <w:left w:w="0" w:type="dxa"/>
            <w:bottom w:w="0" w:type="dxa"/>
            <w:right w:w="0" w:type="dxa"/>
          </w:tblCellMar>
        </w:tblPrEx>
        <w:trPr>
          <w:trHeight w:val="20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法定代表人</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金庆洪</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注册地址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重庆市北碚区云华路</w:t>
            </w:r>
            <w:r>
              <w:rPr>
                <w:rFonts w:hint="eastAsia" w:eastAsia="仿宋_GB2312" w:cs="Times New Roman"/>
                <w:sz w:val="24"/>
                <w:szCs w:val="24"/>
                <w:highlight w:val="none"/>
                <w:lang w:val="en-US" w:eastAsia="zh-CN"/>
              </w:rPr>
              <w:t>170号附2号、3-1</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邮政编码</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400700</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国际互联网网址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http：//bb.czcb.com.cn</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电子信箱</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u w:val="single"/>
                <w:lang w:val="en-US" w:eastAsia="zh-CN"/>
              </w:rPr>
              <w:t>bbczrb@163.com</w:t>
            </w:r>
          </w:p>
        </w:tc>
      </w:tr>
    </w:tbl>
    <w:p>
      <w:pPr>
        <w:ind w:firstLine="590" w:firstLineChars="196"/>
        <w:jc w:val="both"/>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2.2信息披露及联系方式</w:t>
      </w:r>
    </w:p>
    <w:tbl>
      <w:tblPr>
        <w:tblStyle w:val="4"/>
        <w:tblW w:w="8320" w:type="dxa"/>
        <w:jc w:val="center"/>
        <w:tblLayout w:type="fixed"/>
        <w:tblCellMar>
          <w:top w:w="0" w:type="dxa"/>
          <w:left w:w="0" w:type="dxa"/>
          <w:bottom w:w="0" w:type="dxa"/>
          <w:right w:w="0" w:type="dxa"/>
        </w:tblCellMar>
      </w:tblPr>
      <w:tblGrid>
        <w:gridCol w:w="2787"/>
        <w:gridCol w:w="5533"/>
      </w:tblGrid>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刊登年报摘要的网站</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公司官方网站</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年度报告备置地点</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本行董事会办公室</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地址</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1"/>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val="en-US" w:eastAsia="zh-CN"/>
              </w:rPr>
              <w:t>重庆市北碚区云华</w:t>
            </w:r>
            <w:r>
              <w:rPr>
                <w:rFonts w:hint="default" w:ascii="Times New Roman" w:hAnsi="Times New Roman" w:eastAsia="仿宋_GB2312" w:cs="Times New Roman"/>
                <w:color w:val="auto"/>
                <w:sz w:val="24"/>
                <w:szCs w:val="24"/>
                <w:highlight w:val="none"/>
                <w:lang w:val="en-US" w:eastAsia="zh-CN"/>
              </w:rPr>
              <w:t>路</w:t>
            </w:r>
            <w:r>
              <w:rPr>
                <w:rFonts w:hint="eastAsia" w:eastAsia="仿宋_GB2312" w:cs="Times New Roman"/>
                <w:color w:val="auto"/>
                <w:sz w:val="24"/>
                <w:szCs w:val="24"/>
                <w:highlight w:val="none"/>
                <w:lang w:val="en-US" w:eastAsia="zh-CN"/>
              </w:rPr>
              <w:t>170</w:t>
            </w:r>
            <w:r>
              <w:rPr>
                <w:rFonts w:hint="default" w:ascii="Times New Roman" w:hAnsi="Times New Roman" w:eastAsia="仿宋_GB2312" w:cs="Times New Roman"/>
                <w:color w:val="auto"/>
                <w:sz w:val="24"/>
                <w:szCs w:val="24"/>
                <w:highlight w:val="none"/>
                <w:lang w:val="en-US" w:eastAsia="zh-CN"/>
              </w:rPr>
              <w:t>号</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联系电话</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 xml:space="preserve"> </w:t>
            </w:r>
            <w:r>
              <w:rPr>
                <w:rFonts w:hint="default" w:ascii="Times New Roman" w:hAnsi="Times New Roman" w:eastAsia="仿宋_GB2312" w:cs="Times New Roman"/>
                <w:kern w:val="0"/>
                <w:sz w:val="24"/>
                <w:szCs w:val="24"/>
                <w:highlight w:val="none"/>
                <w:lang w:val="en-US" w:eastAsia="zh-CN"/>
              </w:rPr>
              <w:t>023-88028855</w:t>
            </w:r>
          </w:p>
        </w:tc>
      </w:tr>
      <w:tr>
        <w:tblPrEx>
          <w:tblCellMar>
            <w:top w:w="0" w:type="dxa"/>
            <w:left w:w="0" w:type="dxa"/>
            <w:bottom w:w="0" w:type="dxa"/>
            <w:right w:w="0" w:type="dxa"/>
          </w:tblCellMar>
        </w:tblPrEx>
        <w:trPr>
          <w:trHeight w:val="38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1"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传真</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2"/>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023-88028855</w:t>
            </w:r>
          </w:p>
        </w:tc>
      </w:tr>
    </w:tbl>
    <w:p>
      <w:pPr>
        <w:ind w:firstLine="602" w:firstLineChars="200"/>
        <w:jc w:val="both"/>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sz w:val="30"/>
          <w:szCs w:val="30"/>
          <w:highlight w:val="none"/>
        </w:rPr>
        <w:t>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会计数据和业务数据摘要</w:t>
      </w:r>
    </w:p>
    <w:p>
      <w:pPr>
        <w:autoSpaceDE w:val="0"/>
        <w:autoSpaceDN w:val="0"/>
        <w:adjustRightInd w:val="0"/>
        <w:ind w:firstLine="602" w:firstLineChars="200"/>
        <w:jc w:val="both"/>
        <w:rPr>
          <w:rFonts w:hint="default" w:ascii="Times New Roman" w:hAnsi="Times New Roman" w:cs="Times New Roman"/>
          <w:kern w:val="0"/>
          <w:position w:val="-2"/>
          <w:szCs w:val="21"/>
          <w:highlight w:val="none"/>
        </w:rPr>
      </w:pPr>
      <w:r>
        <w:rPr>
          <w:rFonts w:hint="default" w:ascii="Times New Roman" w:hAnsi="Times New Roman" w:eastAsia="仿宋_GB2312" w:cs="Times New Roman"/>
          <w:b/>
          <w:kern w:val="0"/>
          <w:sz w:val="30"/>
          <w:szCs w:val="30"/>
          <w:highlight w:val="none"/>
        </w:rPr>
        <w:t>3.1 主要会计数据</w:t>
      </w:r>
      <w:r>
        <w:rPr>
          <w:rFonts w:hint="default" w:ascii="Times New Roman" w:hAnsi="Times New Roman" w:eastAsia="仿宋_GB2312" w:cs="Times New Roman"/>
          <w:kern w:val="0"/>
          <w:position w:val="-2"/>
          <w:sz w:val="30"/>
          <w:szCs w:val="30"/>
          <w:highlight w:val="none"/>
        </w:rPr>
        <w:t xml:space="preserve">         </w:t>
      </w:r>
      <w:r>
        <w:rPr>
          <w:rFonts w:hint="default" w:ascii="Times New Roman" w:hAnsi="Times New Roman" w:cs="Times New Roman"/>
          <w:kern w:val="0"/>
          <w:position w:val="-2"/>
          <w:szCs w:val="21"/>
          <w:highlight w:val="none"/>
        </w:rPr>
        <w:t xml:space="preserve">                                       </w:t>
      </w:r>
    </w:p>
    <w:p>
      <w:pPr>
        <w:autoSpaceDE w:val="0"/>
        <w:autoSpaceDN w:val="0"/>
        <w:adjustRightInd w:val="0"/>
        <w:ind w:firstLine="420" w:firstLineChars="200"/>
        <w:jc w:val="both"/>
        <w:rPr>
          <w:rFonts w:hint="default" w:ascii="Times New Roman" w:hAnsi="Times New Roman" w:cs="Times New Roman"/>
          <w:kern w:val="0"/>
          <w:position w:val="-2"/>
          <w:szCs w:val="21"/>
          <w:highlight w:val="none"/>
        </w:rPr>
      </w:pPr>
      <w:r>
        <w:rPr>
          <w:rFonts w:hint="default" w:ascii="Times New Roman" w:hAnsi="Times New Roman" w:cs="Times New Roman"/>
          <w:szCs w:val="21"/>
          <w:highlight w:val="none"/>
        </w:rPr>
        <w:t>单位：人民币万元</w:t>
      </w:r>
    </w:p>
    <w:tbl>
      <w:tblPr>
        <w:tblStyle w:val="4"/>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主要会计数据</w:t>
            </w:r>
          </w:p>
        </w:tc>
        <w:tc>
          <w:tcPr>
            <w:tcW w:w="5622" w:type="dxa"/>
            <w:noWrap w:val="0"/>
            <w:vAlign w:val="center"/>
          </w:tcPr>
          <w:p>
            <w:pPr>
              <w:autoSpaceDE w:val="0"/>
              <w:autoSpaceDN w:val="0"/>
              <w:adjustRightIn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202</w:t>
            </w:r>
            <w:r>
              <w:rPr>
                <w:rFonts w:hint="eastAsia" w:eastAsia="仿宋_GB2312" w:cs="Times New Roman"/>
                <w:b/>
                <w:color w:val="auto"/>
                <w:kern w:val="0"/>
                <w:sz w:val="24"/>
                <w:szCs w:val="24"/>
                <w:highlight w:val="none"/>
                <w:lang w:val="en-US" w:eastAsia="zh-CN"/>
              </w:rPr>
              <w:t>5</w:t>
            </w:r>
            <w:r>
              <w:rPr>
                <w:rFonts w:hint="default" w:ascii="Times New Roman" w:hAnsi="Times New Roman" w:eastAsia="仿宋_GB2312" w:cs="Times New Roman"/>
                <w:b/>
                <w:color w:val="auto"/>
                <w:kern w:val="0"/>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营业收入</w:t>
            </w:r>
          </w:p>
        </w:tc>
        <w:tc>
          <w:tcPr>
            <w:tcW w:w="5622"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lang w:val="en-US"/>
              </w:rPr>
            </w:pPr>
            <w:r>
              <w:rPr>
                <w:rFonts w:hint="default" w:eastAsia="仿宋_GB2312" w:cs="Times New Roman"/>
                <w:b/>
                <w:bCs/>
                <w:color w:val="auto"/>
                <w:sz w:val="24"/>
                <w:szCs w:val="24"/>
                <w:highlight w:val="none"/>
                <w:lang w:val="en-US" w:eastAsia="zh-CN"/>
              </w:rPr>
              <w:t>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auto"/>
                <w:spacing w:val="1"/>
                <w:kern w:val="0"/>
                <w:position w:val="-2"/>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营业支出</w:t>
            </w:r>
          </w:p>
        </w:tc>
        <w:tc>
          <w:tcPr>
            <w:tcW w:w="5622"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lang w:val="en-US"/>
              </w:rPr>
            </w:pPr>
            <w:r>
              <w:rPr>
                <w:rFonts w:hint="default" w:eastAsia="仿宋_GB2312" w:cs="Times New Roman"/>
                <w:b/>
                <w:bCs/>
                <w:color w:val="auto"/>
                <w:sz w:val="24"/>
                <w:szCs w:val="24"/>
                <w:highlight w:val="none"/>
                <w:lang w:val="en-US" w:eastAsia="zh-CN"/>
              </w:rPr>
              <w:t>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auto"/>
                <w:spacing w:val="1"/>
                <w:kern w:val="0"/>
                <w:position w:val="-2"/>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营业利润</w:t>
            </w:r>
          </w:p>
        </w:tc>
        <w:tc>
          <w:tcPr>
            <w:tcW w:w="5622"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lang w:val="en-US"/>
              </w:rPr>
            </w:pPr>
            <w:r>
              <w:rPr>
                <w:rFonts w:hint="default" w:eastAsia="仿宋_GB2312" w:cs="Times New Roman"/>
                <w:b/>
                <w:bCs/>
                <w:color w:val="auto"/>
                <w:sz w:val="24"/>
                <w:szCs w:val="24"/>
                <w:highlight w:val="none"/>
                <w:lang w:val="en-US" w:eastAsia="zh-CN"/>
              </w:rPr>
              <w:t>-1387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利润总额</w:t>
            </w:r>
          </w:p>
        </w:tc>
        <w:tc>
          <w:tcPr>
            <w:tcW w:w="5622"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lang w:val="en-US"/>
              </w:rPr>
            </w:pPr>
            <w:r>
              <w:rPr>
                <w:rFonts w:hint="default" w:eastAsia="仿宋_GB2312" w:cs="Times New Roman"/>
                <w:b/>
                <w:bCs/>
                <w:color w:val="auto"/>
                <w:sz w:val="24"/>
                <w:szCs w:val="24"/>
                <w:highlight w:val="none"/>
                <w:lang w:val="en-US" w:eastAsia="zh-CN"/>
              </w:rPr>
              <w:t>-1380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position w:val="-2"/>
                <w:sz w:val="24"/>
                <w:szCs w:val="24"/>
                <w:highlight w:val="none"/>
              </w:rPr>
              <w:t>净利润</w:t>
            </w:r>
          </w:p>
        </w:tc>
        <w:tc>
          <w:tcPr>
            <w:tcW w:w="5622"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eastAsia="仿宋_GB2312" w:cs="Times New Roman"/>
                <w:b/>
                <w:bCs/>
                <w:color w:val="auto"/>
                <w:sz w:val="24"/>
                <w:szCs w:val="24"/>
                <w:highlight w:val="none"/>
                <w:lang w:val="en-US" w:eastAsia="zh-CN"/>
              </w:rPr>
              <w:t>-1175</w:t>
            </w:r>
          </w:p>
        </w:tc>
      </w:tr>
    </w:tbl>
    <w:p>
      <w:pPr>
        <w:autoSpaceDE w:val="0"/>
        <w:autoSpaceDN w:val="0"/>
        <w:adjustRightInd w:val="0"/>
        <w:ind w:firstLine="602" w:firstLineChars="200"/>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b/>
          <w:color w:val="auto"/>
          <w:kern w:val="0"/>
          <w:position w:val="-3"/>
          <w:sz w:val="30"/>
          <w:szCs w:val="30"/>
          <w:highlight w:val="none"/>
        </w:rPr>
        <w:t>3.2 主要财务指标</w:t>
      </w:r>
    </w:p>
    <w:tbl>
      <w:tblPr>
        <w:tblStyle w:val="4"/>
        <w:tblW w:w="8341" w:type="dxa"/>
        <w:jc w:val="center"/>
        <w:tblLayout w:type="fixed"/>
        <w:tblCellMar>
          <w:top w:w="0" w:type="dxa"/>
          <w:left w:w="0" w:type="dxa"/>
          <w:bottom w:w="0" w:type="dxa"/>
          <w:right w:w="0" w:type="dxa"/>
        </w:tblCellMar>
      </w:tblPr>
      <w:tblGrid>
        <w:gridCol w:w="4365"/>
        <w:gridCol w:w="3976"/>
      </w:tblGrid>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主要财务指标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202</w:t>
            </w:r>
            <w:r>
              <w:rPr>
                <w:rFonts w:hint="eastAsia" w:eastAsia="仿宋_GB2312" w:cs="Times New Roman"/>
                <w:b/>
                <w:color w:val="auto"/>
                <w:kern w:val="0"/>
                <w:sz w:val="24"/>
                <w:szCs w:val="24"/>
                <w:highlight w:val="none"/>
                <w:lang w:val="en-US" w:eastAsia="zh-CN"/>
              </w:rPr>
              <w:t>5</w:t>
            </w:r>
            <w:r>
              <w:rPr>
                <w:rFonts w:hint="default" w:ascii="Times New Roman" w:hAnsi="Times New Roman" w:eastAsia="仿宋_GB2312" w:cs="Times New Roman"/>
                <w:b/>
                <w:color w:val="auto"/>
                <w:kern w:val="0"/>
                <w:sz w:val="24"/>
                <w:szCs w:val="24"/>
                <w:highlight w:val="none"/>
              </w:rPr>
              <w:t>年</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position w:val="-2"/>
                <w:sz w:val="24"/>
                <w:szCs w:val="24"/>
                <w:highlight w:val="none"/>
              </w:rPr>
              <w:t>基本每股收益（元／股）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bidi="ar"/>
              </w:rPr>
              <w:t>-0.</w:t>
            </w:r>
            <w:r>
              <w:rPr>
                <w:rFonts w:hint="default" w:eastAsia="仿宋_GB2312" w:cs="Times New Roman"/>
                <w:b/>
                <w:bCs/>
                <w:color w:val="auto"/>
                <w:sz w:val="24"/>
                <w:szCs w:val="24"/>
                <w:highlight w:val="none"/>
                <w:lang w:val="en-US" w:eastAsia="zh-CN" w:bidi="ar"/>
              </w:rPr>
              <w:t>12</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color w:val="auto"/>
                <w:kern w:val="0"/>
                <w:position w:val="-2"/>
                <w:sz w:val="24"/>
                <w:szCs w:val="24"/>
                <w:highlight w:val="none"/>
              </w:rPr>
            </w:pPr>
            <w:r>
              <w:rPr>
                <w:rFonts w:hint="default" w:ascii="Times New Roman" w:hAnsi="Times New Roman" w:eastAsia="仿宋_GB2312" w:cs="Times New Roman"/>
                <w:color w:val="auto"/>
                <w:kern w:val="0"/>
                <w:position w:val="-2"/>
                <w:sz w:val="24"/>
                <w:szCs w:val="24"/>
                <w:highlight w:val="none"/>
              </w:rPr>
              <w:t>每股净资产（元／股）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1.</w:t>
            </w:r>
            <w:r>
              <w:rPr>
                <w:rFonts w:hint="default" w:eastAsia="仿宋_GB2312" w:cs="Times New Roman"/>
                <w:b/>
                <w:bCs/>
                <w:color w:val="auto"/>
                <w:sz w:val="24"/>
                <w:szCs w:val="24"/>
                <w:highlight w:val="none"/>
                <w:lang w:val="en-US" w:eastAsia="zh-CN"/>
              </w:rPr>
              <w:t>22</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color w:val="auto"/>
                <w:kern w:val="0"/>
                <w:position w:val="-2"/>
                <w:sz w:val="24"/>
                <w:szCs w:val="24"/>
                <w:highlight w:val="none"/>
              </w:rPr>
            </w:pPr>
            <w:r>
              <w:rPr>
                <w:rFonts w:hint="default" w:ascii="Times New Roman" w:hAnsi="Times New Roman" w:eastAsia="仿宋_GB2312" w:cs="Times New Roman"/>
                <w:color w:val="auto"/>
                <w:kern w:val="0"/>
                <w:position w:val="-2"/>
                <w:sz w:val="24"/>
                <w:szCs w:val="24"/>
                <w:highlight w:val="none"/>
                <w:lang w:eastAsia="zh-CN"/>
              </w:rPr>
              <w:t>净</w:t>
            </w:r>
            <w:r>
              <w:rPr>
                <w:rFonts w:hint="default" w:ascii="Times New Roman" w:hAnsi="Times New Roman" w:eastAsia="仿宋_GB2312" w:cs="Times New Roman"/>
                <w:color w:val="auto"/>
                <w:kern w:val="0"/>
                <w:position w:val="-2"/>
                <w:sz w:val="24"/>
                <w:szCs w:val="24"/>
                <w:highlight w:val="none"/>
              </w:rPr>
              <w:t>资产收益率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lang w:val="en-US" w:eastAsia="zh-CN" w:bidi="ar"/>
              </w:rPr>
              <w:t>-</w:t>
            </w:r>
            <w:r>
              <w:rPr>
                <w:rFonts w:hint="default" w:eastAsia="仿宋_GB2312" w:cs="Times New Roman"/>
                <w:b/>
                <w:bCs/>
                <w:color w:val="auto"/>
                <w:sz w:val="24"/>
                <w:szCs w:val="24"/>
                <w:highlight w:val="none"/>
                <w:lang w:val="en-US" w:eastAsia="zh-CN" w:bidi="ar"/>
              </w:rPr>
              <w:t>9.18</w:t>
            </w:r>
            <w:r>
              <w:rPr>
                <w:rFonts w:hint="default" w:ascii="Times New Roman" w:hAnsi="Times New Roman" w:eastAsia="仿宋_GB2312" w:cs="Times New Roman"/>
                <w:b/>
                <w:bCs/>
                <w:color w:val="auto"/>
                <w:sz w:val="24"/>
                <w:szCs w:val="24"/>
                <w:highlight w:val="none"/>
                <w:lang w:val="en-US" w:eastAsia="zh-CN" w:bidi="ar"/>
              </w:rPr>
              <w:t>%</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color w:val="auto"/>
                <w:kern w:val="0"/>
                <w:position w:val="-2"/>
                <w:sz w:val="24"/>
                <w:szCs w:val="24"/>
                <w:highlight w:val="none"/>
              </w:rPr>
            </w:pPr>
            <w:r>
              <w:rPr>
                <w:rFonts w:hint="default" w:ascii="Times New Roman" w:hAnsi="Times New Roman" w:eastAsia="仿宋_GB2312" w:cs="Times New Roman"/>
                <w:color w:val="auto"/>
                <w:kern w:val="0"/>
                <w:position w:val="-2"/>
                <w:sz w:val="24"/>
                <w:szCs w:val="24"/>
                <w:highlight w:val="none"/>
              </w:rPr>
              <w:t>成本收入比</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auto"/>
                <w:sz w:val="24"/>
                <w:szCs w:val="24"/>
                <w:highlight w:val="none"/>
              </w:rPr>
            </w:pPr>
            <w:r>
              <w:rPr>
                <w:rFonts w:hint="eastAsia" w:eastAsia="仿宋_GB2312" w:cs="Times New Roman"/>
                <w:b/>
                <w:bCs/>
                <w:color w:val="auto"/>
                <w:sz w:val="24"/>
                <w:szCs w:val="24"/>
                <w:highlight w:val="none"/>
                <w:lang w:val="en-US" w:eastAsia="zh-CN"/>
              </w:rPr>
              <w:t>87.89</w:t>
            </w:r>
            <w:r>
              <w:rPr>
                <w:rFonts w:hint="default" w:ascii="Times New Roman" w:hAnsi="Times New Roman" w:eastAsia="仿宋_GB2312" w:cs="Times New Roman"/>
                <w:b/>
                <w:bCs/>
                <w:color w:val="auto"/>
                <w:sz w:val="24"/>
                <w:szCs w:val="24"/>
                <w:highlight w:val="none"/>
                <w:lang w:val="en-US" w:eastAsia="zh-CN"/>
              </w:rPr>
              <w:t>%</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rPr>
            </w:pPr>
            <w:r>
              <w:rPr>
                <w:rFonts w:hint="default" w:ascii="Times New Roman" w:hAnsi="Times New Roman" w:eastAsia="仿宋_GB2312" w:cs="Times New Roman"/>
                <w:color w:val="auto"/>
                <w:kern w:val="0"/>
                <w:position w:val="-2"/>
                <w:sz w:val="24"/>
                <w:szCs w:val="24"/>
                <w:highlight w:val="none"/>
                <w:lang w:val="en-US" w:eastAsia="zh-CN"/>
              </w:rPr>
              <w:t>净息差</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i w:val="0"/>
                <w:color w:val="auto"/>
                <w:kern w:val="2"/>
                <w:sz w:val="24"/>
                <w:szCs w:val="24"/>
                <w:highlight w:val="none"/>
                <w:u w:val="none"/>
                <w:lang w:val="en-US" w:eastAsia="zh-CN" w:bidi="ar"/>
              </w:rPr>
              <w:t>2.6</w:t>
            </w:r>
            <w:r>
              <w:rPr>
                <w:rFonts w:hint="eastAsia" w:eastAsia="仿宋_GB2312" w:cs="Times New Roman"/>
                <w:b/>
                <w:bCs/>
                <w:i w:val="0"/>
                <w:color w:val="auto"/>
                <w:kern w:val="2"/>
                <w:sz w:val="24"/>
                <w:szCs w:val="24"/>
                <w:highlight w:val="none"/>
                <w:u w:val="none"/>
                <w:lang w:val="en-US" w:eastAsia="zh-CN" w:bidi="ar"/>
              </w:rPr>
              <w:t>1</w:t>
            </w:r>
            <w:r>
              <w:rPr>
                <w:rFonts w:hint="default" w:ascii="Times New Roman" w:hAnsi="Times New Roman" w:eastAsia="仿宋_GB2312" w:cs="Times New Roman"/>
                <w:b/>
                <w:bCs/>
                <w:i w:val="0"/>
                <w:color w:val="auto"/>
                <w:kern w:val="2"/>
                <w:sz w:val="24"/>
                <w:szCs w:val="24"/>
                <w:highlight w:val="none"/>
                <w:u w:val="none"/>
                <w:lang w:val="en-US" w:eastAsia="zh-CN" w:bidi="ar"/>
              </w:rPr>
              <w:t xml:space="preserve">% </w:t>
            </w:r>
          </w:p>
        </w:tc>
      </w:tr>
    </w:tbl>
    <w:p>
      <w:pPr>
        <w:autoSpaceDE w:val="0"/>
        <w:autoSpaceDN w:val="0"/>
        <w:adjustRightInd w:val="0"/>
        <w:ind w:firstLine="602" w:firstLineChars="200"/>
        <w:jc w:val="both"/>
        <w:rPr>
          <w:rFonts w:hint="default" w:ascii="Times New Roman" w:hAnsi="Times New Roman" w:eastAsia="仿宋_GB2312" w:cs="Times New Roman"/>
          <w:b/>
          <w:color w:val="auto"/>
          <w:kern w:val="0"/>
          <w:position w:val="-3"/>
          <w:sz w:val="30"/>
          <w:szCs w:val="30"/>
          <w:highlight w:val="none"/>
        </w:rPr>
      </w:pPr>
      <w:r>
        <w:rPr>
          <w:rFonts w:hint="default" w:ascii="Times New Roman" w:hAnsi="Times New Roman" w:eastAsia="仿宋_GB2312" w:cs="Times New Roman"/>
          <w:b/>
          <w:color w:val="auto"/>
          <w:kern w:val="0"/>
          <w:position w:val="-3"/>
          <w:sz w:val="30"/>
          <w:szCs w:val="30"/>
          <w:highlight w:val="none"/>
        </w:rPr>
        <w:t>4</w:t>
      </w:r>
      <w:r>
        <w:rPr>
          <w:rFonts w:hint="default" w:ascii="Times New Roman" w:hAnsi="Times New Roman" w:eastAsia="仿宋_GB2312" w:cs="Times New Roman"/>
          <w:b/>
          <w:color w:val="auto"/>
          <w:kern w:val="0"/>
          <w:position w:val="-3"/>
          <w:sz w:val="30"/>
          <w:szCs w:val="30"/>
          <w:highlight w:val="none"/>
          <w:lang w:eastAsia="zh-CN"/>
        </w:rPr>
        <w:t>、</w:t>
      </w:r>
      <w:r>
        <w:rPr>
          <w:rFonts w:hint="default" w:ascii="Times New Roman" w:hAnsi="Times New Roman" w:eastAsia="仿宋_GB2312" w:cs="Times New Roman"/>
          <w:b/>
          <w:color w:val="auto"/>
          <w:kern w:val="0"/>
          <w:position w:val="-3"/>
          <w:sz w:val="30"/>
          <w:szCs w:val="30"/>
          <w:highlight w:val="none"/>
        </w:rPr>
        <w:t>银行业务信息与数据</w:t>
      </w:r>
    </w:p>
    <w:p>
      <w:pPr>
        <w:autoSpaceDE w:val="0"/>
        <w:autoSpaceDN w:val="0"/>
        <w:adjustRightInd w:val="0"/>
        <w:ind w:firstLine="602" w:firstLineChars="200"/>
        <w:jc w:val="both"/>
        <w:rPr>
          <w:rFonts w:hint="default" w:ascii="Times New Roman" w:hAnsi="Times New Roman" w:eastAsia="仿宋_GB2312" w:cs="Times New Roman"/>
          <w:b/>
          <w:color w:val="auto"/>
          <w:kern w:val="0"/>
          <w:position w:val="-3"/>
          <w:sz w:val="30"/>
          <w:szCs w:val="30"/>
          <w:highlight w:val="none"/>
        </w:rPr>
      </w:pPr>
      <w:r>
        <w:rPr>
          <w:rFonts w:hint="default" w:ascii="Times New Roman" w:hAnsi="Times New Roman" w:eastAsia="仿宋_GB2312" w:cs="Times New Roman"/>
          <w:b/>
          <w:color w:val="auto"/>
          <w:kern w:val="0"/>
          <w:position w:val="-3"/>
          <w:sz w:val="30"/>
          <w:szCs w:val="30"/>
          <w:highlight w:val="none"/>
        </w:rPr>
        <w:t>4.1 公司前二年主要财务会计数据</w:t>
      </w:r>
    </w:p>
    <w:p>
      <w:pPr>
        <w:autoSpaceDE w:val="0"/>
        <w:autoSpaceDN w:val="0"/>
        <w:adjustRightInd w:val="0"/>
        <w:ind w:left="122" w:leftChars="58" w:firstLine="413" w:firstLineChars="196"/>
        <w:jc w:val="both"/>
        <w:rPr>
          <w:rFonts w:hint="default" w:ascii="Times New Roman" w:hAnsi="Times New Roman" w:cs="Times New Roman"/>
          <w:b/>
          <w:color w:val="auto"/>
          <w:kern w:val="0"/>
          <w:sz w:val="18"/>
          <w:szCs w:val="18"/>
          <w:highlight w:val="none"/>
        </w:rPr>
      </w:pPr>
      <w:r>
        <w:rPr>
          <w:rFonts w:hint="default" w:ascii="Times New Roman" w:hAnsi="Times New Roman" w:cs="Times New Roman"/>
          <w:b/>
          <w:color w:val="auto"/>
          <w:kern w:val="0"/>
          <w:szCs w:val="21"/>
          <w:highlight w:val="none"/>
        </w:rPr>
        <w:t xml:space="preserve">                                                       </w:t>
      </w:r>
      <w:r>
        <w:rPr>
          <w:rFonts w:hint="default" w:ascii="Times New Roman" w:hAnsi="Times New Roman" w:cs="Times New Roman"/>
          <w:color w:val="auto"/>
          <w:szCs w:val="21"/>
          <w:highlight w:val="none"/>
        </w:rPr>
        <w:t>单位：人民币万元</w:t>
      </w:r>
      <w:r>
        <w:rPr>
          <w:rFonts w:hint="default" w:ascii="Times New Roman" w:hAnsi="Times New Roman" w:cs="Times New Roman"/>
          <w:color w:val="auto"/>
          <w:kern w:val="0"/>
          <w:position w:val="-2"/>
          <w:szCs w:val="21"/>
          <w:highlight w:val="none"/>
        </w:rPr>
        <w:t xml:space="preserve"> </w:t>
      </w:r>
      <w:r>
        <w:rPr>
          <w:rFonts w:hint="default" w:ascii="Times New Roman" w:hAnsi="Times New Roman" w:cs="Times New Roman"/>
          <w:color w:val="auto"/>
          <w:kern w:val="0"/>
          <w:position w:val="-2"/>
          <w:sz w:val="18"/>
          <w:szCs w:val="18"/>
          <w:highlight w:val="none"/>
        </w:rPr>
        <w:t xml:space="preserve">                                                                                                                             </w:t>
      </w:r>
    </w:p>
    <w:tbl>
      <w:tblPr>
        <w:tblStyle w:val="4"/>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78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项   目</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2024年</w:t>
            </w:r>
          </w:p>
        </w:tc>
        <w:tc>
          <w:tcPr>
            <w:tcW w:w="2911"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202</w:t>
            </w:r>
            <w:r>
              <w:rPr>
                <w:rFonts w:hint="eastAsia" w:eastAsia="仿宋_GB2312" w:cs="Times New Roman"/>
                <w:color w:val="auto"/>
                <w:kern w:val="0"/>
                <w:position w:val="-2"/>
                <w:sz w:val="24"/>
                <w:szCs w:val="24"/>
                <w:highlight w:val="none"/>
                <w:lang w:val="en-US" w:eastAsia="zh-CN"/>
              </w:rPr>
              <w:t>5</w:t>
            </w:r>
            <w:r>
              <w:rPr>
                <w:rFonts w:hint="default" w:ascii="Times New Roman" w:hAnsi="Times New Roman" w:eastAsia="仿宋_GB2312" w:cs="Times New Roman"/>
                <w:color w:val="auto"/>
                <w:kern w:val="0"/>
                <w:position w:val="-2"/>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资产总额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96436</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auto"/>
                <w:kern w:val="0"/>
                <w:position w:val="-2"/>
                <w:sz w:val="24"/>
                <w:szCs w:val="24"/>
                <w:highlight w:val="none"/>
                <w:lang w:val="en-US" w:eastAsia="zh-CN"/>
              </w:rPr>
            </w:pPr>
            <w:r>
              <w:rPr>
                <w:rFonts w:hint="eastAsia" w:eastAsia="仿宋_GB2312" w:cs="Times New Roman"/>
                <w:color w:val="auto"/>
                <w:kern w:val="0"/>
                <w:position w:val="-2"/>
                <w:sz w:val="24"/>
                <w:szCs w:val="24"/>
                <w:highlight w:val="none"/>
                <w:lang w:val="en-US" w:eastAsia="zh-CN"/>
              </w:rPr>
              <w:t>111582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负债总额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83055</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auto"/>
                <w:kern w:val="0"/>
                <w:position w:val="-2"/>
                <w:sz w:val="24"/>
                <w:szCs w:val="24"/>
                <w:highlight w:val="none"/>
                <w:lang w:val="en-US" w:eastAsia="zh-CN"/>
              </w:rPr>
            </w:pPr>
            <w:r>
              <w:rPr>
                <w:rFonts w:hint="eastAsia" w:eastAsia="仿宋_GB2312" w:cs="Times New Roman"/>
                <w:color w:val="auto"/>
                <w:kern w:val="0"/>
                <w:position w:val="-2"/>
                <w:sz w:val="24"/>
                <w:szCs w:val="24"/>
                <w:highlight w:val="none"/>
                <w:lang w:val="en-US" w:eastAsia="zh-CN"/>
              </w:rPr>
              <w:t>99376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股东权益合计</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13381</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auto"/>
                <w:kern w:val="0"/>
                <w:position w:val="-2"/>
                <w:sz w:val="24"/>
                <w:szCs w:val="24"/>
                <w:highlight w:val="none"/>
                <w:lang w:val="en-US" w:eastAsia="zh-CN"/>
              </w:rPr>
            </w:pPr>
            <w:r>
              <w:rPr>
                <w:rFonts w:hint="eastAsia" w:eastAsia="仿宋_GB2312" w:cs="Times New Roman"/>
                <w:color w:val="auto"/>
                <w:kern w:val="0"/>
                <w:position w:val="-2"/>
                <w:sz w:val="24"/>
                <w:szCs w:val="24"/>
                <w:highlight w:val="none"/>
                <w:lang w:val="en-US" w:eastAsia="zh-CN"/>
              </w:rPr>
              <w:t>12206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存款总额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80460</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auto"/>
                <w:kern w:val="0"/>
                <w:position w:val="-2"/>
                <w:sz w:val="24"/>
                <w:szCs w:val="24"/>
                <w:highlight w:val="none"/>
                <w:lang w:val="en-US" w:eastAsia="zh-CN"/>
              </w:rPr>
            </w:pPr>
            <w:r>
              <w:rPr>
                <w:rFonts w:hint="eastAsia" w:eastAsia="仿宋_GB2312" w:cs="Times New Roman"/>
                <w:color w:val="auto"/>
                <w:kern w:val="0"/>
                <w:position w:val="-2"/>
                <w:sz w:val="24"/>
                <w:szCs w:val="24"/>
                <w:highlight w:val="none"/>
                <w:lang w:val="en-US" w:eastAsia="zh-CN"/>
              </w:rPr>
              <w:t>95559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贷款总额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auto"/>
                <w:kern w:val="0"/>
                <w:position w:val="-2"/>
                <w:sz w:val="24"/>
                <w:szCs w:val="24"/>
                <w:highlight w:val="none"/>
                <w:lang w:val="en-US" w:eastAsia="zh-CN"/>
              </w:rPr>
            </w:pPr>
            <w:r>
              <w:rPr>
                <w:rFonts w:hint="default" w:ascii="Times New Roman" w:hAnsi="Times New Roman" w:eastAsia="仿宋_GB2312" w:cs="Times New Roman"/>
                <w:color w:val="auto"/>
                <w:kern w:val="0"/>
                <w:position w:val="-2"/>
                <w:sz w:val="24"/>
                <w:szCs w:val="24"/>
                <w:highlight w:val="none"/>
                <w:lang w:val="en-US" w:eastAsia="zh-CN"/>
              </w:rPr>
              <w:t>60444</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auto"/>
                <w:kern w:val="0"/>
                <w:position w:val="-2"/>
                <w:sz w:val="24"/>
                <w:szCs w:val="24"/>
                <w:highlight w:val="none"/>
                <w:lang w:val="en-US" w:eastAsia="zh-CN"/>
              </w:rPr>
            </w:pPr>
            <w:r>
              <w:rPr>
                <w:rFonts w:hint="eastAsia" w:eastAsia="仿宋_GB2312" w:cs="Times New Roman"/>
                <w:color w:val="auto"/>
                <w:kern w:val="0"/>
                <w:position w:val="-2"/>
                <w:sz w:val="24"/>
                <w:szCs w:val="24"/>
                <w:highlight w:val="none"/>
                <w:lang w:val="en-US" w:eastAsia="zh-CN"/>
              </w:rPr>
              <w:t>65410</w:t>
            </w:r>
          </w:p>
        </w:tc>
      </w:tr>
    </w:tbl>
    <w:p>
      <w:pPr>
        <w:autoSpaceDE w:val="0"/>
        <w:autoSpaceDN w:val="0"/>
        <w:adjustRightInd w:val="0"/>
        <w:ind w:firstLine="413" w:firstLineChars="196"/>
        <w:jc w:val="both"/>
        <w:rPr>
          <w:rFonts w:hint="default" w:ascii="Times New Roman" w:hAnsi="Times New Roman" w:cs="Times New Roman"/>
          <w:b/>
          <w:color w:val="auto"/>
          <w:kern w:val="0"/>
          <w:szCs w:val="21"/>
          <w:highlight w:val="none"/>
        </w:rPr>
      </w:pPr>
    </w:p>
    <w:p>
      <w:pPr>
        <w:autoSpaceDE w:val="0"/>
        <w:autoSpaceDN w:val="0"/>
        <w:adjustRightInd w:val="0"/>
        <w:ind w:firstLine="590" w:firstLineChars="196"/>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4.2 公司前二年资本充足率数据</w:t>
      </w:r>
    </w:p>
    <w:p>
      <w:pPr>
        <w:autoSpaceDE w:val="0"/>
        <w:autoSpaceDN w:val="0"/>
        <w:adjustRightInd w:val="0"/>
        <w:ind w:firstLine="422" w:firstLineChars="200"/>
        <w:jc w:val="both"/>
        <w:rPr>
          <w:rFonts w:hint="default" w:ascii="Times New Roman" w:hAnsi="Times New Roman" w:cs="Times New Roman"/>
          <w:b/>
          <w:color w:val="auto"/>
          <w:kern w:val="0"/>
          <w:position w:val="-3"/>
          <w:sz w:val="18"/>
          <w:szCs w:val="18"/>
          <w:highlight w:val="none"/>
        </w:rPr>
      </w:pPr>
      <w:r>
        <w:rPr>
          <w:rFonts w:hint="default" w:ascii="Times New Roman" w:hAnsi="Times New Roman" w:cs="Times New Roman"/>
          <w:b/>
          <w:color w:val="auto"/>
          <w:kern w:val="0"/>
          <w:szCs w:val="21"/>
          <w:highlight w:val="none"/>
        </w:rPr>
        <w:t xml:space="preserve">                                                       </w:t>
      </w:r>
      <w:r>
        <w:rPr>
          <w:rFonts w:hint="default" w:ascii="Times New Roman" w:hAnsi="Times New Roman" w:cs="Times New Roman"/>
          <w:color w:val="auto"/>
          <w:szCs w:val="21"/>
          <w:highlight w:val="none"/>
        </w:rPr>
        <w:t>单位：人民币万元</w:t>
      </w:r>
    </w:p>
    <w:tbl>
      <w:tblPr>
        <w:tblStyle w:val="4"/>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2393"/>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both"/>
              <w:rPr>
                <w:rFonts w:hint="default" w:ascii="Times New Roman" w:hAnsi="Times New Roman" w:eastAsia="仿宋_GB2312" w:cs="Times New Roman"/>
                <w:b/>
                <w:color w:val="auto"/>
                <w:spacing w:val="1"/>
                <w:kern w:val="0"/>
                <w:position w:val="-2"/>
                <w:sz w:val="24"/>
                <w:szCs w:val="24"/>
                <w:highlight w:val="none"/>
              </w:rPr>
            </w:pPr>
            <w:r>
              <w:rPr>
                <w:rFonts w:hint="default" w:ascii="Times New Roman" w:hAnsi="Times New Roman" w:eastAsia="仿宋_GB2312" w:cs="Times New Roman"/>
                <w:b/>
                <w:color w:val="auto"/>
                <w:spacing w:val="1"/>
                <w:kern w:val="0"/>
                <w:position w:val="-2"/>
                <w:sz w:val="24"/>
                <w:szCs w:val="24"/>
                <w:highlight w:val="none"/>
              </w:rPr>
              <w:t>项   目</w:t>
            </w:r>
          </w:p>
        </w:tc>
        <w:tc>
          <w:tcPr>
            <w:tcW w:w="2393" w:type="dxa"/>
            <w:noWrap w:val="0"/>
            <w:vAlign w:val="center"/>
          </w:tcPr>
          <w:p>
            <w:pPr>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default" w:ascii="Times New Roman" w:hAnsi="Times New Roman"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w:t>
            </w:r>
          </w:p>
        </w:tc>
        <w:tc>
          <w:tcPr>
            <w:tcW w:w="2442" w:type="dxa"/>
            <w:noWrap w:val="0"/>
            <w:vAlign w:val="center"/>
          </w:tcPr>
          <w:p>
            <w:pPr>
              <w:jc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资本净额</w:t>
            </w:r>
          </w:p>
        </w:tc>
        <w:tc>
          <w:tcPr>
            <w:tcW w:w="2393" w:type="dxa"/>
            <w:noWrap w:val="0"/>
            <w:vAlign w:val="center"/>
          </w:tcPr>
          <w:p>
            <w:pPr>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val="0"/>
                <w:color w:val="auto"/>
                <w:kern w:val="0"/>
                <w:sz w:val="24"/>
                <w:szCs w:val="24"/>
                <w:highlight w:val="none"/>
                <w:lang w:val="en-US" w:eastAsia="zh-CN" w:bidi="ar"/>
              </w:rPr>
              <w:t>14,259.13</w:t>
            </w:r>
          </w:p>
        </w:tc>
        <w:tc>
          <w:tcPr>
            <w:tcW w:w="2442" w:type="dxa"/>
            <w:noWrap w:val="0"/>
            <w:vAlign w:val="center"/>
          </w:tcPr>
          <w:p>
            <w:pPr>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13258.69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auto"/>
                <w:spacing w:val="1"/>
                <w:kern w:val="0"/>
                <w:position w:val="-2"/>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一级资本净额</w:t>
            </w:r>
          </w:p>
        </w:tc>
        <w:tc>
          <w:tcPr>
            <w:tcW w:w="2393"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color w:val="auto"/>
                <w:sz w:val="24"/>
                <w:szCs w:val="24"/>
                <w:highlight w:val="none"/>
                <w:lang w:val="en-US"/>
              </w:rPr>
            </w:pPr>
            <w:r>
              <w:rPr>
                <w:rFonts w:hint="default" w:ascii="Times New Roman" w:hAnsi="Times New Roman" w:eastAsia="仿宋_GB2312" w:cs="Times New Roman"/>
                <w:bCs w:val="0"/>
                <w:color w:val="auto"/>
                <w:kern w:val="0"/>
                <w:sz w:val="24"/>
                <w:szCs w:val="24"/>
                <w:highlight w:val="none"/>
                <w:lang w:val="en-US" w:eastAsia="zh-CN" w:bidi="ar"/>
              </w:rPr>
              <w:t>13,380.89</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pacing w:val="1"/>
                <w:kern w:val="0"/>
                <w:position w:val="-2"/>
                <w:sz w:val="24"/>
                <w:szCs w:val="24"/>
                <w:highlight w:val="none"/>
              </w:rPr>
              <w:t>核心一级资本净额</w:t>
            </w:r>
          </w:p>
        </w:tc>
        <w:tc>
          <w:tcPr>
            <w:tcW w:w="2393"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val="0"/>
                <w:color w:val="auto"/>
                <w:kern w:val="0"/>
                <w:sz w:val="24"/>
                <w:szCs w:val="24"/>
                <w:highlight w:val="none"/>
                <w:lang w:val="en-US" w:eastAsia="zh-CN" w:bidi="ar"/>
              </w:rPr>
              <w:t>13,380.89</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both"/>
              <w:rPr>
                <w:rFonts w:hint="default" w:ascii="Times New Roman" w:hAnsi="Times New Roman" w:eastAsia="仿宋_GB2312" w:cs="Times New Roman"/>
                <w:color w:val="auto"/>
                <w:kern w:val="0"/>
                <w:position w:val="-2"/>
                <w:sz w:val="24"/>
                <w:szCs w:val="24"/>
                <w:highlight w:val="none"/>
              </w:rPr>
            </w:pPr>
            <w:r>
              <w:rPr>
                <w:rFonts w:hint="default" w:ascii="Times New Roman" w:hAnsi="Times New Roman" w:eastAsia="仿宋_GB2312" w:cs="Times New Roman"/>
                <w:color w:val="auto"/>
                <w:kern w:val="0"/>
                <w:position w:val="-2"/>
                <w:sz w:val="24"/>
                <w:szCs w:val="24"/>
                <w:highlight w:val="none"/>
              </w:rPr>
              <w:t>风险加权资产总额</w:t>
            </w:r>
          </w:p>
        </w:tc>
        <w:tc>
          <w:tcPr>
            <w:tcW w:w="2393" w:type="dxa"/>
            <w:noWrap w:val="0"/>
            <w:vAlign w:val="center"/>
          </w:tcPr>
          <w:p>
            <w:pPr>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56,767.20</w:t>
            </w:r>
          </w:p>
        </w:tc>
        <w:tc>
          <w:tcPr>
            <w:tcW w:w="2442" w:type="dxa"/>
            <w:noWrap w:val="0"/>
            <w:vAlign w:val="center"/>
          </w:tcPr>
          <w:p>
            <w:pPr>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color w:val="auto"/>
                <w:kern w:val="0"/>
                <w:sz w:val="24"/>
                <w:szCs w:val="24"/>
                <w:highlight w:val="none"/>
                <w:lang w:val="en-US" w:eastAsia="zh-CN" w:bidi="ar"/>
              </w:rPr>
              <w:t>65167.57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资本充足率</w:t>
            </w:r>
          </w:p>
        </w:tc>
        <w:tc>
          <w:tcPr>
            <w:tcW w:w="2393" w:type="dxa"/>
            <w:noWrap w:val="0"/>
            <w:vAlign w:val="center"/>
          </w:tcPr>
          <w:p>
            <w:pPr>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val="0"/>
                <w:color w:val="auto"/>
                <w:kern w:val="0"/>
                <w:sz w:val="24"/>
                <w:szCs w:val="24"/>
                <w:highlight w:val="none"/>
                <w:lang w:val="en-US" w:eastAsia="zh-CN" w:bidi="ar"/>
              </w:rPr>
              <w:t>25.1186%</w:t>
            </w:r>
          </w:p>
        </w:tc>
        <w:tc>
          <w:tcPr>
            <w:tcW w:w="2442" w:type="dxa"/>
            <w:noWrap w:val="0"/>
            <w:vAlign w:val="center"/>
          </w:tcPr>
          <w:p>
            <w:pPr>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20.35</w:t>
            </w:r>
            <w:r>
              <w:rPr>
                <w:rFonts w:hint="default" w:ascii="Times New Roman" w:hAnsi="Times New Roman" w:eastAsia="仿宋_GB2312" w:cs="Times New Roman"/>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一级资本充足率</w:t>
            </w:r>
          </w:p>
        </w:tc>
        <w:tc>
          <w:tcPr>
            <w:tcW w:w="2393" w:type="dxa"/>
            <w:noWrap w:val="0"/>
            <w:vAlign w:val="center"/>
          </w:tcPr>
          <w:p>
            <w:pPr>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val="0"/>
                <w:color w:val="auto"/>
                <w:kern w:val="0"/>
                <w:sz w:val="24"/>
                <w:szCs w:val="24"/>
                <w:highlight w:val="none"/>
                <w:lang w:val="en-US" w:eastAsia="zh-CN" w:bidi="ar"/>
              </w:rPr>
              <w:t>23.5715%</w:t>
            </w:r>
          </w:p>
        </w:tc>
        <w:tc>
          <w:tcPr>
            <w:tcW w:w="2442" w:type="dxa"/>
            <w:noWrap w:val="0"/>
            <w:vAlign w:val="center"/>
          </w:tcPr>
          <w:p>
            <w:pPr>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18.41</w:t>
            </w:r>
            <w:r>
              <w:rPr>
                <w:rFonts w:hint="default" w:ascii="Times New Roman" w:hAnsi="Times New Roman" w:eastAsia="仿宋_GB2312" w:cs="Times New Roman"/>
                <w:bCs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核心一级资本充足率</w:t>
            </w:r>
          </w:p>
        </w:tc>
        <w:tc>
          <w:tcPr>
            <w:tcW w:w="2393" w:type="dxa"/>
            <w:noWrap w:val="0"/>
            <w:vAlign w:val="center"/>
          </w:tcPr>
          <w:p>
            <w:pPr>
              <w:spacing w:line="320" w:lineRule="exact"/>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val="0"/>
                <w:color w:val="auto"/>
                <w:kern w:val="0"/>
                <w:sz w:val="24"/>
                <w:szCs w:val="24"/>
                <w:highlight w:val="none"/>
                <w:lang w:val="en-US" w:eastAsia="zh-CN" w:bidi="ar"/>
              </w:rPr>
              <w:t>23.5715%</w:t>
            </w:r>
          </w:p>
        </w:tc>
        <w:tc>
          <w:tcPr>
            <w:tcW w:w="2442" w:type="dxa"/>
            <w:noWrap w:val="0"/>
            <w:vAlign w:val="center"/>
          </w:tcPr>
          <w:p>
            <w:pPr>
              <w:spacing w:line="320" w:lineRule="exact"/>
              <w:jc w:val="center"/>
              <w:rPr>
                <w:rFonts w:hint="default" w:ascii="Times New Roman" w:hAnsi="Times New Roman" w:eastAsia="仿宋_GB2312" w:cs="Times New Roman"/>
                <w:bCs w:val="0"/>
                <w:color w:val="auto"/>
                <w:kern w:val="0"/>
                <w:sz w:val="24"/>
                <w:szCs w:val="24"/>
                <w:highlight w:val="none"/>
                <w:lang w:bidi="ar"/>
              </w:rPr>
            </w:pPr>
            <w:r>
              <w:rPr>
                <w:rFonts w:hint="eastAsia" w:eastAsia="仿宋_GB2312" w:cs="Times New Roman"/>
                <w:bCs w:val="0"/>
                <w:color w:val="auto"/>
                <w:kern w:val="0"/>
                <w:sz w:val="24"/>
                <w:szCs w:val="24"/>
                <w:highlight w:val="none"/>
                <w:lang w:val="en-US" w:eastAsia="zh-CN" w:bidi="ar"/>
              </w:rPr>
              <w:t>18.41</w:t>
            </w:r>
            <w:r>
              <w:rPr>
                <w:rFonts w:hint="default" w:ascii="Times New Roman" w:hAnsi="Times New Roman" w:eastAsia="仿宋_GB2312" w:cs="Times New Roman"/>
                <w:bCs w:val="0"/>
                <w:color w:val="auto"/>
                <w:kern w:val="0"/>
                <w:sz w:val="24"/>
                <w:szCs w:val="24"/>
                <w:highlight w:val="none"/>
                <w:lang w:val="en-US" w:eastAsia="zh-CN" w:bidi="ar"/>
              </w:rPr>
              <w:t>%</w:t>
            </w:r>
          </w:p>
        </w:tc>
      </w:tr>
    </w:tbl>
    <w:p>
      <w:pPr>
        <w:autoSpaceDE w:val="0"/>
        <w:autoSpaceDN w:val="0"/>
        <w:adjustRightInd w:val="0"/>
        <w:ind w:firstLine="482"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color w:val="auto"/>
          <w:kern w:val="0"/>
          <w:position w:val="-3"/>
          <w:sz w:val="24"/>
          <w:szCs w:val="24"/>
          <w:highlight w:val="none"/>
        </w:rPr>
        <w:t>注：</w:t>
      </w:r>
      <w:r>
        <w:rPr>
          <w:rFonts w:hint="default" w:ascii="Times New Roman" w:hAnsi="Times New Roman" w:eastAsia="仿宋_GB2312" w:cs="Times New Roman"/>
          <w:color w:val="auto"/>
          <w:kern w:val="0"/>
          <w:sz w:val="24"/>
          <w:szCs w:val="24"/>
          <w:highlight w:val="none"/>
        </w:rPr>
        <w:t>根据中国银行业监督管理委员会2012年6月颁布的《商业银行资本管理办法（试行）》计量资本充足率相关数据指标。</w:t>
      </w:r>
    </w:p>
    <w:p>
      <w:pPr>
        <w:autoSpaceDE w:val="0"/>
        <w:autoSpaceDN w:val="0"/>
        <w:adjustRightInd w:val="0"/>
        <w:ind w:firstLine="420" w:firstLineChars="200"/>
        <w:jc w:val="both"/>
        <w:rPr>
          <w:rFonts w:hint="default" w:ascii="Times New Roman" w:hAnsi="Times New Roman" w:cs="Times New Roman"/>
          <w:color w:val="auto"/>
          <w:kern w:val="0"/>
          <w:szCs w:val="21"/>
          <w:highlight w:val="none"/>
        </w:rPr>
      </w:pPr>
    </w:p>
    <w:p>
      <w:pPr>
        <w:autoSpaceDE w:val="0"/>
        <w:autoSpaceDN w:val="0"/>
        <w:adjustRightInd w:val="0"/>
        <w:ind w:firstLine="590" w:firstLineChars="196"/>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4.3 公司前二年主要合规指标</w:t>
      </w:r>
    </w:p>
    <w:tbl>
      <w:tblPr>
        <w:tblStyle w:val="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1568"/>
        <w:gridCol w:w="17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  目</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监管指标</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年</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流动性比率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97.52%</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127.36</w:t>
            </w: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存贷比</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＞50％</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75.12%</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68.45</w:t>
            </w: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拨备覆盖率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≥150％</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155.22%</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155.</w:t>
            </w:r>
            <w:r>
              <w:rPr>
                <w:rFonts w:hint="eastAsia" w:eastAsia="仿宋_GB2312" w:cs="Times New Roman"/>
                <w:color w:val="auto"/>
                <w:sz w:val="24"/>
                <w:szCs w:val="24"/>
                <w:highlight w:val="none"/>
                <w:lang w:val="en-US" w:eastAsia="zh-CN"/>
              </w:rPr>
              <w:t>04</w:t>
            </w: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贷款拨备率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4.04%</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5.38</w:t>
            </w:r>
            <w:r>
              <w:rPr>
                <w:rFonts w:hint="default" w:ascii="Times New Roman" w:hAnsi="Times New Roman" w:eastAsia="仿宋_GB2312"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单一最大客户贷款比例</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rPr>
              <w:t>7.01%</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bookmarkStart w:id="0" w:name="_GoBack" w:colFirst="2" w:colLast="3"/>
            <w:r>
              <w:rPr>
                <w:rFonts w:hint="default" w:ascii="Times New Roman" w:hAnsi="Times New Roman" w:eastAsia="仿宋_GB2312" w:cs="Times New Roman"/>
                <w:color w:val="auto"/>
                <w:sz w:val="24"/>
                <w:szCs w:val="24"/>
                <w:highlight w:val="none"/>
              </w:rPr>
              <w:t>单一最大集团客户授信比</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173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rPr>
              <w:t>13.50%</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p>
        </w:tc>
      </w:tr>
      <w:bookmarkEnd w:id="0"/>
    </w:tbl>
    <w:p>
      <w:pPr>
        <w:autoSpaceDE w:val="0"/>
        <w:autoSpaceDN w:val="0"/>
        <w:adjustRightInd w:val="0"/>
        <w:ind w:firstLine="422" w:firstLineChars="200"/>
        <w:jc w:val="both"/>
        <w:rPr>
          <w:rFonts w:hint="default" w:ascii="Times New Roman" w:hAnsi="Times New Roman" w:cs="Times New Roman"/>
          <w:b/>
          <w:color w:val="auto"/>
          <w:kern w:val="0"/>
          <w:position w:val="-3"/>
          <w:szCs w:val="21"/>
          <w:highlight w:val="none"/>
        </w:rPr>
      </w:pPr>
    </w:p>
    <w:p>
      <w:pPr>
        <w:autoSpaceDE w:val="0"/>
        <w:autoSpaceDN w:val="0"/>
        <w:adjustRightInd w:val="0"/>
        <w:ind w:firstLine="602" w:firstLineChars="200"/>
        <w:jc w:val="both"/>
        <w:rPr>
          <w:rFonts w:hint="default" w:ascii="Times New Roman" w:hAnsi="Times New Roman" w:eastAsia="仿宋_GB2312" w:cs="Times New Roman"/>
          <w:b/>
          <w:color w:val="auto"/>
          <w:kern w:val="0"/>
          <w:position w:val="-3"/>
          <w:sz w:val="30"/>
          <w:szCs w:val="30"/>
          <w:highlight w:val="none"/>
          <w:lang w:eastAsia="zh-CN"/>
        </w:rPr>
      </w:pPr>
      <w:r>
        <w:rPr>
          <w:rFonts w:hint="default" w:ascii="Times New Roman" w:hAnsi="Times New Roman" w:eastAsia="仿宋_GB2312" w:cs="Times New Roman"/>
          <w:b/>
          <w:color w:val="auto"/>
          <w:kern w:val="0"/>
          <w:position w:val="-3"/>
          <w:sz w:val="30"/>
          <w:szCs w:val="30"/>
          <w:highlight w:val="none"/>
        </w:rPr>
        <w:t>4.4 贷款投放情况</w:t>
      </w:r>
    </w:p>
    <w:p>
      <w:pPr>
        <w:autoSpaceDE w:val="0"/>
        <w:autoSpaceDN w:val="0"/>
        <w:adjustRightInd w:val="0"/>
        <w:ind w:firstLine="602" w:firstLineChars="200"/>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4.4.1  贷款行业分布情况</w:t>
      </w:r>
    </w:p>
    <w:p>
      <w:pPr>
        <w:autoSpaceDE w:val="0"/>
        <w:autoSpaceDN w:val="0"/>
        <w:adjustRightInd w:val="0"/>
        <w:ind w:firstLine="6300" w:firstLineChars="3000"/>
        <w:jc w:val="both"/>
        <w:rPr>
          <w:rFonts w:hint="default" w:ascii="Times New Roman" w:hAnsi="Times New Roman" w:cs="Times New Roman"/>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4"/>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84"/>
        <w:gridCol w:w="1000"/>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restart"/>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行  业</w:t>
            </w:r>
          </w:p>
        </w:tc>
        <w:tc>
          <w:tcPr>
            <w:tcW w:w="2284" w:type="dxa"/>
            <w:gridSpan w:val="2"/>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年12月31日</w:t>
            </w:r>
          </w:p>
        </w:tc>
        <w:tc>
          <w:tcPr>
            <w:tcW w:w="2570" w:type="dxa"/>
            <w:gridSpan w:val="2"/>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continue"/>
            <w:noWrap w:val="0"/>
            <w:vAlign w:val="center"/>
          </w:tcPr>
          <w:p>
            <w:pPr>
              <w:jc w:val="both"/>
              <w:rPr>
                <w:rFonts w:hint="default" w:ascii="Times New Roman" w:hAnsi="Times New Roman" w:eastAsia="仿宋_GB2312" w:cs="Times New Roman"/>
                <w:color w:val="auto"/>
                <w:sz w:val="24"/>
                <w:szCs w:val="24"/>
                <w:highlight w:val="none"/>
              </w:rPr>
            </w:pP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金额</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比例</w:t>
            </w:r>
          </w:p>
        </w:tc>
        <w:tc>
          <w:tcPr>
            <w:tcW w:w="128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金额</w:t>
            </w:r>
          </w:p>
        </w:tc>
        <w:tc>
          <w:tcPr>
            <w:tcW w:w="128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个人贷款(不含个人经营性贷款)</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2261.53</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3.74%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2356.44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农、林、牧、渔业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3542.32</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5.86%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3057.98</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制造业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9976.92</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16.51%</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13184.86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批发和零售业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11434.46</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18.92%</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16584.06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租赁和商务服务业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4413.60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7.30%</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4559.24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居民服务、修理和其他服务业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2626.07</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4.34%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3697.34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教育业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553.40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0.92%</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841.40</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交通运输业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1262.00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2.09%</w:t>
            </w:r>
          </w:p>
        </w:tc>
        <w:tc>
          <w:tcPr>
            <w:tcW w:w="1285" w:type="dxa"/>
            <w:noWrap w:val="0"/>
            <w:vAlign w:val="center"/>
          </w:tcPr>
          <w:p>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2561.08</w:t>
            </w:r>
          </w:p>
        </w:tc>
        <w:tc>
          <w:tcPr>
            <w:tcW w:w="1285" w:type="dxa"/>
            <w:noWrap w:val="0"/>
            <w:vAlign w:val="center"/>
          </w:tcPr>
          <w:p>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sz w:val="24"/>
                <w:szCs w:val="24"/>
                <w:highlight w:val="none"/>
                <w:lang w:val="en-US" w:eastAsia="zh-CN"/>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采矿业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0.00%</w:t>
            </w:r>
          </w:p>
        </w:tc>
        <w:tc>
          <w:tcPr>
            <w:tcW w:w="1285" w:type="dxa"/>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电力、热力、燃气及水生产和供应业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1127.00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1.87%</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eastAsia" w:ascii="Times New Roman" w:hAnsi="Times New Roman" w:eastAsia="仿宋_GB2312" w:cs="Times New Roman"/>
                <w:sz w:val="24"/>
                <w:szCs w:val="24"/>
                <w:highlight w:val="none"/>
                <w:lang w:val="en-US" w:eastAsia="zh-CN"/>
              </w:rPr>
              <w:t>1290.00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公共管理、社会保障和社会组织</w:t>
            </w: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13557.71</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22.43%</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8015.02</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文化、体育和娱乐业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1453.62</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2.40%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1427.58</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信息传输、软件和信息技术服务业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415.32</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0.69%</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528.50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住宿和餐饮业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4789.00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7.92%</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4843.54</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金融业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科学研究和技术服务业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249.00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0.41%</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eastAsia" w:ascii="Times New Roman" w:hAnsi="Times New Roman" w:eastAsia="仿宋_GB2312" w:cs="Times New Roman"/>
                <w:sz w:val="24"/>
                <w:szCs w:val="24"/>
                <w:highlight w:val="none"/>
                <w:lang w:val="en-US" w:eastAsia="zh-CN"/>
              </w:rPr>
              <w:t>297.40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卫生和社会工作</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217.00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0.36%</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287.00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房地产业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水利、环境和公共设施管理业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2565</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4.24%</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1879.00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bottom"/>
          </w:tcPr>
          <w:p>
            <w:pPr>
              <w:widowControl/>
              <w:jc w:val="both"/>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贷款和垫款总额 </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60443.95</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100.00%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65410.45</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100.00%</w:t>
            </w:r>
          </w:p>
        </w:tc>
      </w:tr>
    </w:tbl>
    <w:p>
      <w:pPr>
        <w:ind w:firstLine="422" w:firstLineChars="200"/>
        <w:jc w:val="both"/>
        <w:rPr>
          <w:rFonts w:hint="default" w:ascii="Times New Roman" w:hAnsi="Times New Roman" w:cs="Times New Roman"/>
          <w:b/>
          <w:bCs/>
          <w:color w:val="auto"/>
          <w:szCs w:val="21"/>
          <w:highlight w:val="none"/>
        </w:rPr>
      </w:pPr>
    </w:p>
    <w:p>
      <w:pPr>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4.4.2 贷款担保方式分布情况</w:t>
      </w:r>
      <w:r>
        <w:rPr>
          <w:rFonts w:hint="default" w:ascii="Times New Roman" w:hAnsi="Times New Roman" w:eastAsia="仿宋_GB2312" w:cs="Times New Roman"/>
          <w:color w:val="auto"/>
          <w:sz w:val="30"/>
          <w:szCs w:val="30"/>
          <w:highlight w:val="none"/>
        </w:rPr>
        <w:t xml:space="preserve"> </w:t>
      </w:r>
    </w:p>
    <w:p>
      <w:pPr>
        <w:ind w:firstLine="6300" w:firstLineChars="3000"/>
        <w:jc w:val="both"/>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单位：人民币万元</w:t>
      </w:r>
    </w:p>
    <w:tbl>
      <w:tblPr>
        <w:tblStyle w:val="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2745"/>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项  目</w:t>
            </w:r>
          </w:p>
        </w:tc>
        <w:tc>
          <w:tcPr>
            <w:tcW w:w="2745"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年12月31日</w:t>
            </w:r>
          </w:p>
        </w:tc>
        <w:tc>
          <w:tcPr>
            <w:tcW w:w="2817"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保证贷款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23089.27</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33211.41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附担保物贷款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28943.76</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21444.02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其中：抵押贷款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28908.76</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21434.02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质押贷款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35</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eastAsia" w:eastAsia="仿宋_GB2312" w:cs="Times New Roman"/>
                <w:bCs/>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信用贷款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8410.92</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10755.03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贴现</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lang w:val="en-US" w:eastAsia="zh-CN"/>
              </w:rPr>
              <w:t>0</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其中：银行承兑汇票</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180.05</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商业承兑汇票</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0</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58" w:type="dxa"/>
            <w:noWrap w:val="0"/>
            <w:vAlign w:val="bottom"/>
          </w:tcPr>
          <w:p>
            <w:pPr>
              <w:widowControl/>
              <w:jc w:val="both"/>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贷款和垫款总额 </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60443.95</w:t>
            </w:r>
          </w:p>
        </w:tc>
        <w:tc>
          <w:tcPr>
            <w:tcW w:w="2817"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65410.45</w:t>
            </w:r>
          </w:p>
        </w:tc>
      </w:tr>
    </w:tbl>
    <w:p>
      <w:pPr>
        <w:jc w:val="both"/>
        <w:rPr>
          <w:rFonts w:hint="default" w:ascii="Times New Roman" w:hAnsi="Times New Roman" w:cs="Times New Roman"/>
          <w:color w:val="auto"/>
          <w:szCs w:val="21"/>
          <w:highlight w:val="none"/>
        </w:rPr>
      </w:pP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bCs/>
          <w:color w:val="auto"/>
          <w:sz w:val="30"/>
          <w:szCs w:val="30"/>
          <w:highlight w:val="none"/>
        </w:rPr>
        <w:t>5</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color w:val="auto"/>
          <w:sz w:val="30"/>
          <w:szCs w:val="30"/>
          <w:highlight w:val="none"/>
        </w:rPr>
        <w:t>股本变动及股东情况</w:t>
      </w: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5.1股东权益</w:t>
      </w:r>
    </w:p>
    <w:p>
      <w:pPr>
        <w:ind w:firstLine="6300" w:firstLineChars="3000"/>
        <w:jc w:val="both"/>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单位:万元</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2549"/>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项  目</w:t>
            </w:r>
          </w:p>
        </w:tc>
        <w:tc>
          <w:tcPr>
            <w:tcW w:w="2549"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年12月31日</w:t>
            </w:r>
          </w:p>
        </w:tc>
        <w:tc>
          <w:tcPr>
            <w:tcW w:w="2708"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总股本</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Cs/>
                <w:color w:val="auto"/>
                <w:sz w:val="24"/>
                <w:szCs w:val="24"/>
                <w:highlight w:val="none"/>
              </w:rPr>
              <w:t>10000</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Cs/>
                <w:color w:val="auto"/>
                <w:sz w:val="24"/>
                <w:szCs w:val="24"/>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资本公积</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盈余公积</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586</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一般风险准备</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1452</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eastAsia="仿宋_GB2312" w:cs="Times New Roman"/>
                <w:color w:val="auto"/>
                <w:sz w:val="24"/>
                <w:szCs w:val="24"/>
                <w:highlight w:val="none"/>
                <w:lang w:val="en-US" w:eastAsia="zh-CN"/>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未分配利润</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1343</w:t>
            </w:r>
          </w:p>
        </w:tc>
        <w:tc>
          <w:tcPr>
            <w:tcW w:w="2708" w:type="dxa"/>
            <w:noWrap w:val="0"/>
            <w:vAlign w:val="center"/>
          </w:tcPr>
          <w:p>
            <w:pPr>
              <w:jc w:val="center"/>
              <w:rPr>
                <w:rFonts w:hint="default" w:ascii="Times New Roman" w:hAnsi="Times New Roman" w:eastAsia="仿宋_GB2312" w:cs="Times New Roman"/>
                <w:b w:val="0"/>
                <w:bCs/>
                <w:color w:val="auto"/>
                <w:sz w:val="24"/>
                <w:szCs w:val="24"/>
                <w:highlight w:val="none"/>
                <w:lang w:val="en-US"/>
              </w:rPr>
            </w:pPr>
            <w:r>
              <w:rPr>
                <w:rFonts w:hint="default" w:eastAsia="仿宋_GB2312" w:cs="Times New Roman"/>
                <w:color w:val="auto"/>
                <w:sz w:val="24"/>
                <w:szCs w:val="24"/>
                <w:highlight w:val="none"/>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股东权益合计</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color w:val="auto"/>
                <w:sz w:val="24"/>
                <w:szCs w:val="24"/>
                <w:highlight w:val="none"/>
                <w:lang w:val="en-US" w:eastAsia="zh-CN"/>
              </w:rPr>
              <w:t>13381</w:t>
            </w:r>
          </w:p>
        </w:tc>
        <w:tc>
          <w:tcPr>
            <w:tcW w:w="2708" w:type="dxa"/>
            <w:noWrap w:val="0"/>
            <w:vAlign w:val="center"/>
          </w:tcPr>
          <w:p>
            <w:pPr>
              <w:spacing w:line="320" w:lineRule="exact"/>
              <w:jc w:val="center"/>
              <w:rPr>
                <w:rFonts w:hint="default" w:ascii="Times New Roman" w:hAnsi="Times New Roman" w:eastAsia="仿宋_GB2312" w:cs="Times New Roman"/>
                <w:b w:val="0"/>
                <w:bCs/>
                <w:color w:val="auto"/>
                <w:sz w:val="24"/>
                <w:szCs w:val="24"/>
                <w:highlight w:val="none"/>
                <w:lang w:val="en-US"/>
              </w:rPr>
            </w:pPr>
            <w:r>
              <w:rPr>
                <w:rFonts w:hint="eastAsia" w:eastAsia="仿宋_GB2312" w:cs="Times New Roman"/>
                <w:b/>
                <w:color w:val="auto"/>
                <w:sz w:val="24"/>
                <w:szCs w:val="24"/>
                <w:highlight w:val="none"/>
                <w:lang w:val="en-US" w:eastAsia="zh-CN"/>
              </w:rPr>
              <w:t>12206</w:t>
            </w:r>
          </w:p>
        </w:tc>
      </w:tr>
    </w:tbl>
    <w:p>
      <w:pPr>
        <w:ind w:firstLine="482" w:firstLineChars="200"/>
        <w:jc w:val="both"/>
        <w:rPr>
          <w:rFonts w:hint="default" w:ascii="Times New Roman" w:hAnsi="Times New Roman" w:eastAsia="仿宋_GB2312" w:cs="Times New Roman"/>
          <w:b/>
          <w:color w:val="auto"/>
          <w:sz w:val="24"/>
          <w:szCs w:val="24"/>
          <w:highlight w:val="none"/>
          <w:lang w:eastAsia="zh-CN"/>
        </w:rPr>
      </w:pPr>
    </w:p>
    <w:p>
      <w:pPr>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5.2股本结构情况表</w:t>
      </w:r>
    </w:p>
    <w:p>
      <w:pPr>
        <w:ind w:firstLine="6930" w:firstLineChars="33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4"/>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773"/>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股东类型</w:t>
            </w:r>
          </w:p>
        </w:tc>
        <w:tc>
          <w:tcPr>
            <w:tcW w:w="2773"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股本数</w:t>
            </w:r>
          </w:p>
        </w:tc>
        <w:tc>
          <w:tcPr>
            <w:tcW w:w="2854"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国有股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法人股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个人股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股份总数</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w:t>
            </w:r>
          </w:p>
        </w:tc>
      </w:tr>
    </w:tbl>
    <w:p>
      <w:pPr>
        <w:ind w:firstLine="352" w:firstLineChars="196"/>
        <w:jc w:val="both"/>
        <w:rPr>
          <w:rFonts w:hint="default" w:ascii="Times New Roman" w:hAnsi="Times New Roman" w:cs="Times New Roman"/>
          <w:color w:val="auto"/>
          <w:sz w:val="18"/>
          <w:szCs w:val="18"/>
          <w:highlight w:val="none"/>
        </w:rPr>
      </w:pP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5.3报告期十大股东持股表</w:t>
      </w:r>
    </w:p>
    <w:p>
      <w:pPr>
        <w:ind w:firstLine="7140" w:firstLineChars="3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5"/>
        <w:gridCol w:w="1153"/>
        <w:gridCol w:w="1199"/>
        <w:gridCol w:w="136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205" w:type="dxa"/>
            <w:tcBorders>
              <w:bottom w:val="single" w:color="auto" w:sz="4" w:space="0"/>
            </w:tcBorders>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股东名称</w:t>
            </w:r>
          </w:p>
        </w:tc>
        <w:tc>
          <w:tcPr>
            <w:tcW w:w="1153"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年末</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持股数</w:t>
            </w:r>
          </w:p>
        </w:tc>
        <w:tc>
          <w:tcPr>
            <w:tcW w:w="1199"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比例</w:t>
            </w:r>
          </w:p>
        </w:tc>
        <w:tc>
          <w:tcPr>
            <w:tcW w:w="1362"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年初</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持股数</w:t>
            </w:r>
          </w:p>
        </w:tc>
        <w:tc>
          <w:tcPr>
            <w:tcW w:w="1361"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205" w:type="dxa"/>
            <w:noWrap w:val="0"/>
            <w:vAlign w:val="center"/>
          </w:tcPr>
          <w:p>
            <w:pPr>
              <w:widowControl/>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浙江稠州商业银行股份有限公司</w:t>
            </w:r>
          </w:p>
        </w:tc>
        <w:tc>
          <w:tcPr>
            <w:tcW w:w="1153"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1199"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c>
          <w:tcPr>
            <w:tcW w:w="1362"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1361"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r>
    </w:tbl>
    <w:p>
      <w:pPr>
        <w:jc w:val="both"/>
        <w:rPr>
          <w:rFonts w:hint="default" w:ascii="Times New Roman" w:hAnsi="Times New Roman" w:cs="Times New Roman"/>
          <w:b/>
          <w:color w:val="auto"/>
          <w:szCs w:val="21"/>
          <w:highlight w:val="none"/>
        </w:rPr>
      </w:pPr>
    </w:p>
    <w:p>
      <w:pPr>
        <w:numPr>
          <w:ilvl w:val="0"/>
          <w:numId w:val="1"/>
        </w:num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董事、高级管理人员和员工情况</w:t>
      </w:r>
    </w:p>
    <w:p>
      <w:pPr>
        <w:numPr>
          <w:ilvl w:val="0"/>
          <w:numId w:val="0"/>
        </w:num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lang w:val="en-US" w:eastAsia="zh-CN"/>
        </w:rPr>
        <w:t>6.1</w:t>
      </w:r>
      <w:r>
        <w:rPr>
          <w:rFonts w:hint="default" w:ascii="Times New Roman" w:hAnsi="Times New Roman" w:eastAsia="仿宋_GB2312" w:cs="Times New Roman"/>
          <w:b/>
          <w:color w:val="auto"/>
          <w:sz w:val="30"/>
          <w:szCs w:val="30"/>
          <w:highlight w:val="none"/>
        </w:rPr>
        <w:t>董事、高级管理人员情况</w:t>
      </w:r>
    </w:p>
    <w:tbl>
      <w:tblPr>
        <w:tblStyle w:val="4"/>
        <w:tblW w:w="830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53"/>
        <w:gridCol w:w="1318"/>
        <w:gridCol w:w="2230"/>
        <w:gridCol w:w="300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vMerge w:val="restart"/>
            <w:tcBorders>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姓名</w:t>
            </w:r>
          </w:p>
        </w:tc>
        <w:tc>
          <w:tcPr>
            <w:tcW w:w="1318" w:type="dxa"/>
            <w:vMerge w:val="restart"/>
            <w:tcBorders>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性别</w:t>
            </w:r>
          </w:p>
        </w:tc>
        <w:tc>
          <w:tcPr>
            <w:tcW w:w="2230" w:type="dxa"/>
            <w:vMerge w:val="restart"/>
            <w:tcBorders>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出生年月</w:t>
            </w:r>
          </w:p>
        </w:tc>
        <w:tc>
          <w:tcPr>
            <w:tcW w:w="3007" w:type="dxa"/>
            <w:vMerge w:val="restart"/>
            <w:tcBorders>
              <w:left w:val="single" w:color="auto" w:sz="4" w:space="0"/>
              <w:bottom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在公司职务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753" w:type="dxa"/>
            <w:vMerge w:val="continue"/>
            <w:tcBorders>
              <w:top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13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2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3007" w:type="dxa"/>
            <w:vMerge w:val="continue"/>
            <w:tcBorders>
              <w:top w:val="single" w:color="auto" w:sz="4" w:space="0"/>
              <w:left w:val="single" w:color="auto" w:sz="4" w:space="0"/>
              <w:bottom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金庆洪</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1966年1月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董事长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陈余娟</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女</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1980年8月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董事、</w:t>
            </w:r>
            <w:r>
              <w:rPr>
                <w:rFonts w:hint="default" w:ascii="Times New Roman" w:hAnsi="Times New Roman" w:eastAsia="仿宋_GB2312" w:cs="Times New Roman"/>
                <w:color w:val="auto"/>
                <w:kern w:val="0"/>
                <w:sz w:val="24"/>
                <w:szCs w:val="24"/>
                <w:highlight w:val="none"/>
              </w:rPr>
              <w:t>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邓兰平</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1974年9月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董事、副行长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朱毅</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w:t>
            </w:r>
            <w:r>
              <w:rPr>
                <w:rFonts w:hint="eastAsia" w:eastAsia="仿宋_GB2312" w:cs="Times New Roman"/>
                <w:color w:val="auto"/>
                <w:kern w:val="0"/>
                <w:sz w:val="24"/>
                <w:szCs w:val="24"/>
                <w:highlight w:val="none"/>
                <w:lang w:val="en-US" w:eastAsia="zh-CN"/>
              </w:rPr>
              <w:t>69年12月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胡天进</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1985年4月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w:t>
            </w: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b/>
          <w:color w:val="auto"/>
          <w:sz w:val="30"/>
          <w:szCs w:val="30"/>
          <w:highlight w:val="none"/>
          <w:lang w:val="en-US" w:eastAsia="zh-CN"/>
        </w:rPr>
      </w:pPr>
      <w:r>
        <w:rPr>
          <w:rFonts w:hint="default" w:ascii="Times New Roman" w:hAnsi="Times New Roman" w:eastAsia="仿宋_GB2312" w:cs="Times New Roman"/>
          <w:b/>
          <w:color w:val="auto"/>
          <w:sz w:val="30"/>
          <w:szCs w:val="30"/>
          <w:highlight w:val="none"/>
          <w:lang w:val="en-US" w:eastAsia="zh-CN"/>
        </w:rPr>
        <w:t>6.2董事、高级管理人员</w:t>
      </w:r>
      <w:r>
        <w:rPr>
          <w:rFonts w:hint="default" w:ascii="仿宋_GB2312" w:hAnsi="仿宋_GB2312" w:eastAsia="仿宋_GB2312" w:cs="仿宋_GB2312"/>
          <w:b/>
          <w:color w:val="auto"/>
          <w:sz w:val="30"/>
          <w:szCs w:val="30"/>
          <w:highlight w:val="none"/>
          <w:lang w:val="en-US" w:eastAsia="zh-CN"/>
        </w:rPr>
        <w:t>的主要工作经历</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bCs/>
          <w:color w:val="auto"/>
          <w:sz w:val="28"/>
          <w:szCs w:val="28"/>
          <w:highlight w:val="none"/>
        </w:rPr>
        <w:t>（一）董事</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金庆洪</w:t>
      </w:r>
      <w:r>
        <w:rPr>
          <w:rFonts w:hint="default" w:ascii="Times New Roman" w:hAnsi="Times New Roman" w:eastAsia="仿宋_GB2312" w:cs="Times New Roman"/>
          <w:bCs/>
          <w:color w:val="auto"/>
          <w:sz w:val="30"/>
          <w:szCs w:val="30"/>
          <w:highlight w:val="none"/>
        </w:rPr>
        <w:t>：</w:t>
      </w:r>
      <w:r>
        <w:rPr>
          <w:rFonts w:hint="default" w:ascii="Times New Roman" w:hAnsi="Times New Roman" w:eastAsia="仿宋_GB2312" w:cs="Times New Roman"/>
          <w:b w:val="0"/>
          <w:bCs w:val="0"/>
          <w:color w:val="auto"/>
          <w:sz w:val="30"/>
          <w:szCs w:val="30"/>
          <w:highlight w:val="none"/>
          <w:lang w:val="en-US" w:eastAsia="zh-CN"/>
        </w:rPr>
        <w:t>金庆洪：男，1966年01月生，中共党员，大学本科学历。</w:t>
      </w:r>
      <w:r>
        <w:rPr>
          <w:rFonts w:hint="eastAsia" w:ascii="Times New Roman" w:hAnsi="Times New Roman" w:eastAsia="仿宋_GB2312" w:cs="Times New Roman"/>
          <w:b w:val="0"/>
          <w:bCs w:val="0"/>
          <w:color w:val="auto"/>
          <w:sz w:val="30"/>
          <w:szCs w:val="30"/>
          <w:highlight w:val="none"/>
          <w:lang w:val="zh-CN" w:eastAsia="zh-CN"/>
        </w:rPr>
        <w:t>从事金融工作</w:t>
      </w:r>
      <w:r>
        <w:rPr>
          <w:rFonts w:hint="eastAsia" w:ascii="Times New Roman" w:hAnsi="Times New Roman" w:eastAsia="仿宋_GB2312" w:cs="Times New Roman"/>
          <w:b w:val="0"/>
          <w:bCs w:val="0"/>
          <w:color w:val="auto"/>
          <w:sz w:val="30"/>
          <w:szCs w:val="30"/>
          <w:highlight w:val="none"/>
          <w:lang w:val="en-US" w:eastAsia="zh-CN"/>
        </w:rPr>
        <w:t>2</w:t>
      </w:r>
      <w:r>
        <w:rPr>
          <w:rFonts w:hint="eastAsia" w:eastAsia="仿宋_GB2312" w:cs="Times New Roman"/>
          <w:b w:val="0"/>
          <w:bCs w:val="0"/>
          <w:color w:val="auto"/>
          <w:sz w:val="30"/>
          <w:szCs w:val="30"/>
          <w:highlight w:val="none"/>
          <w:lang w:val="en-US" w:eastAsia="zh-CN"/>
        </w:rPr>
        <w:t>8</w:t>
      </w:r>
      <w:r>
        <w:rPr>
          <w:rFonts w:hint="eastAsia" w:ascii="Times New Roman" w:hAnsi="Times New Roman" w:eastAsia="仿宋_GB2312" w:cs="Times New Roman"/>
          <w:b w:val="0"/>
          <w:bCs w:val="0"/>
          <w:color w:val="auto"/>
          <w:sz w:val="30"/>
          <w:szCs w:val="30"/>
          <w:highlight w:val="none"/>
          <w:lang w:val="zh-CN" w:eastAsia="zh-CN"/>
        </w:rPr>
        <w:t xml:space="preserve">年， </w:t>
      </w:r>
      <w:r>
        <w:rPr>
          <w:rFonts w:hint="eastAsia" w:ascii="Times New Roman" w:hAnsi="Times New Roman" w:eastAsia="仿宋_GB2312" w:cs="Times New Roman"/>
          <w:b w:val="0"/>
          <w:bCs w:val="0"/>
          <w:color w:val="auto"/>
          <w:sz w:val="30"/>
          <w:szCs w:val="30"/>
          <w:highlight w:val="none"/>
          <w:lang w:val="en-US" w:eastAsia="zh-CN"/>
        </w:rPr>
        <w:t>曾任兰溪市岩山中学任</w:t>
      </w:r>
      <w:r>
        <w:rPr>
          <w:rFonts w:hint="eastAsia" w:ascii="Times New Roman" w:hAnsi="Times New Roman" w:eastAsia="仿宋_GB2312" w:cs="Times New Roman"/>
          <w:b w:val="0"/>
          <w:bCs w:val="0"/>
          <w:color w:val="auto"/>
          <w:sz w:val="30"/>
          <w:szCs w:val="30"/>
          <w:highlight w:val="none"/>
          <w:lang w:val="zh-CN" w:eastAsia="zh-CN"/>
        </w:rPr>
        <w:t>数学老师</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lang w:val="zh-CN" w:eastAsia="zh-CN"/>
        </w:rPr>
        <w:t>兰溪市第一中学任数学老师；</w:t>
      </w:r>
      <w:r>
        <w:rPr>
          <w:rFonts w:hint="eastAsia" w:ascii="Times New Roman" w:hAnsi="Times New Roman" w:eastAsia="仿宋_GB2312" w:cs="Times New Roman"/>
          <w:b w:val="0"/>
          <w:bCs w:val="0"/>
          <w:color w:val="auto"/>
          <w:sz w:val="30"/>
          <w:szCs w:val="30"/>
          <w:highlight w:val="none"/>
          <w:lang w:val="en-US" w:eastAsia="zh-CN"/>
        </w:rPr>
        <w:t>建行兰溪市支行先后任柜员、客户经理、延中分理处副主任（主持工作）、客户业务部副总经理、延中分理处主任、个人金融部总经理、延中支行行长；浙江兰溪越商村镇银行任副行长；浙江稠州商业银行金华分行先后从事兰溪支行副行长、行长、磐安支行行长；兰溪支行行长；现任重庆北碚稠州村镇银行担任党支部书记兼董事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陈余娟</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en-US" w:eastAsia="zh-CN"/>
        </w:rPr>
        <w:t>女</w:t>
      </w:r>
      <w:r>
        <w:rPr>
          <w:rFonts w:hint="default" w:ascii="Times New Roman" w:hAnsi="Times New Roman" w:eastAsia="仿宋_GB2312" w:cs="Times New Roman"/>
          <w:color w:val="auto"/>
          <w:sz w:val="30"/>
          <w:szCs w:val="30"/>
          <w:highlight w:val="none"/>
        </w:rPr>
        <w:t>，19</w:t>
      </w:r>
      <w:r>
        <w:rPr>
          <w:rFonts w:hint="default" w:ascii="Times New Roman" w:hAnsi="Times New Roman" w:eastAsia="仿宋_GB2312" w:cs="Times New Roman"/>
          <w:color w:val="auto"/>
          <w:sz w:val="30"/>
          <w:szCs w:val="30"/>
          <w:highlight w:val="none"/>
          <w:lang w:val="en-US" w:eastAsia="zh-CN"/>
        </w:rPr>
        <w:t>80</w:t>
      </w:r>
      <w:r>
        <w:rPr>
          <w:rFonts w:hint="default" w:ascii="Times New Roman" w:hAnsi="Times New Roman" w:eastAsia="仿宋_GB2312" w:cs="Times New Roman"/>
          <w:color w:val="auto"/>
          <w:sz w:val="30"/>
          <w:szCs w:val="30"/>
          <w:highlight w:val="none"/>
        </w:rPr>
        <w:t>年8月生，</w:t>
      </w:r>
      <w:r>
        <w:rPr>
          <w:rFonts w:hint="default" w:ascii="Times New Roman" w:hAnsi="Times New Roman" w:eastAsia="仿宋_GB2312" w:cs="Times New Roman"/>
          <w:color w:val="auto"/>
          <w:sz w:val="30"/>
          <w:szCs w:val="30"/>
          <w:highlight w:val="none"/>
          <w:lang w:val="en-US" w:eastAsia="zh-CN"/>
        </w:rPr>
        <w:t>群众</w:t>
      </w:r>
      <w:r>
        <w:rPr>
          <w:rFonts w:hint="default" w:ascii="Times New Roman" w:hAnsi="Times New Roman" w:eastAsia="仿宋_GB2312" w:cs="Times New Roman"/>
          <w:color w:val="auto"/>
          <w:sz w:val="30"/>
          <w:szCs w:val="30"/>
          <w:highlight w:val="none"/>
        </w:rPr>
        <w:t>，本科学历。从事金融工作</w:t>
      </w:r>
      <w:r>
        <w:rPr>
          <w:rFonts w:hint="default" w:ascii="Times New Roman" w:hAnsi="Times New Roman" w:eastAsia="仿宋_GB2312" w:cs="Times New Roman"/>
          <w:color w:val="auto"/>
          <w:sz w:val="30"/>
          <w:szCs w:val="30"/>
          <w:highlight w:val="none"/>
          <w:lang w:val="en-US" w:eastAsia="zh-CN"/>
        </w:rPr>
        <w:t>2</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年，曾任</w:t>
      </w:r>
      <w:r>
        <w:rPr>
          <w:rFonts w:hint="default" w:ascii="Times New Roman" w:hAnsi="Times New Roman" w:eastAsia="仿宋_GB2312" w:cs="Times New Roman"/>
          <w:color w:val="auto"/>
          <w:sz w:val="30"/>
          <w:szCs w:val="30"/>
          <w:highlight w:val="none"/>
          <w:lang w:val="en-US" w:eastAsia="zh-CN"/>
        </w:rPr>
        <w:t>重庆农村商业银行忠县支行出纳、柜员、分理处主任，重庆忠县稠州村镇银行总经理、行长助理、副行长。现任重庆北碚稠州村镇银行董事、行长、</w:t>
      </w:r>
      <w:r>
        <w:rPr>
          <w:rFonts w:hint="default" w:ascii="Times New Roman" w:hAnsi="Times New Roman" w:eastAsia="仿宋_GB2312" w:cs="Times New Roman"/>
          <w:bCs/>
          <w:color w:val="auto"/>
          <w:sz w:val="30"/>
          <w:szCs w:val="30"/>
          <w:highlight w:val="none"/>
          <w:lang w:val="en-US" w:eastAsia="zh-CN"/>
        </w:rPr>
        <w:t>工会主席</w:t>
      </w:r>
      <w:r>
        <w:rPr>
          <w:rFonts w:hint="default" w:ascii="Times New Roman" w:hAnsi="Times New Roman" w:eastAsia="仿宋_GB2312" w:cs="Times New Roman"/>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邓兰平</w:t>
      </w:r>
      <w:r>
        <w:rPr>
          <w:rFonts w:hint="default" w:ascii="Times New Roman" w:hAnsi="Times New Roman" w:eastAsia="仿宋_GB2312" w:cs="Times New Roman"/>
          <w:color w:val="auto"/>
          <w:sz w:val="30"/>
          <w:szCs w:val="30"/>
          <w:highlight w:val="none"/>
        </w:rPr>
        <w:t>：男，197</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9</w:t>
      </w:r>
      <w:r>
        <w:rPr>
          <w:rFonts w:hint="default" w:ascii="Times New Roman" w:hAnsi="Times New Roman" w:eastAsia="仿宋_GB2312" w:cs="Times New Roman"/>
          <w:color w:val="auto"/>
          <w:sz w:val="30"/>
          <w:szCs w:val="30"/>
          <w:highlight w:val="none"/>
        </w:rPr>
        <w:t>月生，中共党员，</w:t>
      </w:r>
      <w:r>
        <w:rPr>
          <w:rFonts w:hint="default" w:ascii="Times New Roman" w:hAnsi="Times New Roman" w:eastAsia="仿宋_GB2312" w:cs="Times New Roman"/>
          <w:color w:val="auto"/>
          <w:sz w:val="30"/>
          <w:szCs w:val="30"/>
          <w:highlight w:val="none"/>
          <w:lang w:val="en-US" w:eastAsia="zh-CN"/>
        </w:rPr>
        <w:t>本科</w:t>
      </w:r>
      <w:r>
        <w:rPr>
          <w:rFonts w:hint="default" w:ascii="Times New Roman" w:hAnsi="Times New Roman" w:eastAsia="仿宋_GB2312" w:cs="Times New Roman"/>
          <w:color w:val="auto"/>
          <w:sz w:val="30"/>
          <w:szCs w:val="30"/>
          <w:highlight w:val="none"/>
        </w:rPr>
        <w:t>学历。从事金融工作</w:t>
      </w:r>
      <w:r>
        <w:rPr>
          <w:rFonts w:hint="default" w:ascii="Times New Roman" w:hAnsi="Times New Roman" w:eastAsia="仿宋_GB2312" w:cs="Times New Roman"/>
          <w:color w:val="auto"/>
          <w:sz w:val="30"/>
          <w:szCs w:val="30"/>
          <w:highlight w:val="none"/>
          <w:lang w:val="en-US" w:eastAsia="zh-CN"/>
        </w:rPr>
        <w:t>3</w:t>
      </w:r>
      <w:r>
        <w:rPr>
          <w:rFonts w:hint="eastAsia" w:eastAsia="仿宋_GB2312" w:cs="Times New Roman"/>
          <w:color w:val="auto"/>
          <w:sz w:val="30"/>
          <w:szCs w:val="30"/>
          <w:highlight w:val="none"/>
          <w:lang w:val="en-US" w:eastAsia="zh-CN"/>
        </w:rPr>
        <w:t>0</w:t>
      </w:r>
      <w:r>
        <w:rPr>
          <w:rFonts w:hint="default" w:ascii="Times New Roman" w:hAnsi="Times New Roman" w:eastAsia="仿宋_GB2312" w:cs="Times New Roman"/>
          <w:color w:val="auto"/>
          <w:sz w:val="30"/>
          <w:szCs w:val="30"/>
          <w:highlight w:val="none"/>
        </w:rPr>
        <w:t>年，曾任</w:t>
      </w:r>
      <w:r>
        <w:rPr>
          <w:rFonts w:hint="default" w:ascii="Times New Roman" w:hAnsi="Times New Roman" w:eastAsia="仿宋_GB2312" w:cs="Times New Roman"/>
          <w:color w:val="auto"/>
          <w:sz w:val="30"/>
          <w:szCs w:val="30"/>
          <w:highlight w:val="none"/>
          <w:lang w:val="en-US" w:eastAsia="zh-CN"/>
        </w:rPr>
        <w:t>重庆农村商业银行城口支行分理处主任，中银富登村镇银行董事、行长、副行长、风险部主管。现任重庆北碚稠州村镇银行董事、副行长</w:t>
      </w:r>
      <w:r>
        <w:rPr>
          <w:rFonts w:hint="default" w:ascii="Times New Roman" w:hAnsi="Times New Roman" w:eastAsia="仿宋_GB2312" w:cs="Times New Roman"/>
          <w:color w:val="auto"/>
          <w:sz w:val="30"/>
          <w:szCs w:val="30"/>
          <w:highlight w:val="none"/>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朱毅：</w:t>
      </w:r>
      <w:r>
        <w:rPr>
          <w:rFonts w:hint="default" w:ascii="Times New Roman" w:hAnsi="Times New Roman" w:eastAsia="仿宋_GB2312" w:cs="Times New Roman"/>
          <w:color w:val="auto"/>
          <w:sz w:val="30"/>
          <w:szCs w:val="30"/>
          <w:highlight w:val="none"/>
          <w:lang w:val="en-US" w:eastAsia="zh-CN"/>
        </w:rPr>
        <w:t>男</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kern w:val="2"/>
          <w:sz w:val="30"/>
          <w:szCs w:val="30"/>
          <w:highlight w:val="none"/>
          <w:lang w:val="en-US" w:eastAsia="zh-CN" w:bidi="ar-SA"/>
        </w:rPr>
        <w:t>1969年12月出生</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中共党员，</w:t>
      </w:r>
      <w:r>
        <w:rPr>
          <w:rFonts w:hint="default" w:ascii="Times New Roman" w:hAnsi="Times New Roman" w:eastAsia="仿宋_GB2312" w:cs="Times New Roman"/>
          <w:color w:val="auto"/>
          <w:kern w:val="2"/>
          <w:sz w:val="30"/>
          <w:szCs w:val="30"/>
          <w:highlight w:val="none"/>
          <w:lang w:val="en-US" w:eastAsia="zh-CN" w:bidi="ar-SA"/>
        </w:rPr>
        <w:t>硕士研究生学历</w:t>
      </w:r>
      <w:r>
        <w:rPr>
          <w:rFonts w:hint="default" w:ascii="Times New Roman" w:hAnsi="Times New Roman" w:eastAsia="仿宋_GB2312" w:cs="Times New Roman"/>
          <w:color w:val="auto"/>
          <w:sz w:val="30"/>
          <w:szCs w:val="30"/>
          <w:highlight w:val="none"/>
          <w:lang w:val="en-US" w:eastAsia="zh-CN"/>
        </w:rPr>
        <w:t>，金融从业年限3</w:t>
      </w:r>
      <w:r>
        <w:rPr>
          <w:rFonts w:hint="eastAsia" w:ascii="Times New Roman" w:hAnsi="Times New Roman" w:eastAsia="仿宋_GB2312" w:cs="Times New Roman"/>
          <w:color w:val="auto"/>
          <w:sz w:val="30"/>
          <w:szCs w:val="30"/>
          <w:highlight w:val="none"/>
          <w:lang w:val="en-US" w:eastAsia="zh-CN"/>
        </w:rPr>
        <w:t>7</w:t>
      </w:r>
      <w:r>
        <w:rPr>
          <w:rFonts w:hint="default" w:ascii="Times New Roman" w:hAnsi="Times New Roman" w:eastAsia="仿宋_GB2312" w:cs="Times New Roman"/>
          <w:color w:val="auto"/>
          <w:sz w:val="30"/>
          <w:szCs w:val="30"/>
          <w:highlight w:val="none"/>
          <w:lang w:val="en-US" w:eastAsia="zh-CN"/>
        </w:rPr>
        <w:t>年。</w:t>
      </w:r>
      <w:r>
        <w:rPr>
          <w:rFonts w:hint="default" w:ascii="Times New Roman" w:hAnsi="Times New Roman" w:eastAsia="仿宋_GB2312" w:cs="Times New Roman"/>
          <w:color w:val="auto"/>
          <w:kern w:val="2"/>
          <w:sz w:val="30"/>
          <w:szCs w:val="30"/>
          <w:highlight w:val="none"/>
          <w:lang w:val="en-US" w:eastAsia="zh-CN" w:bidi="ar-SA"/>
        </w:rPr>
        <w:t>曾任金华中行储蓄、信贷科信贷员、风险管理部管理员</w:t>
      </w:r>
      <w:r>
        <w:rPr>
          <w:rFonts w:hint="eastAsia" w:eastAsia="仿宋_GB2312" w:cs="Times New Roman"/>
          <w:color w:val="auto"/>
          <w:kern w:val="2"/>
          <w:sz w:val="30"/>
          <w:szCs w:val="30"/>
          <w:highlight w:val="none"/>
          <w:lang w:val="en-US" w:eastAsia="zh-CN" w:bidi="ar-SA"/>
        </w:rPr>
        <w:t>、</w:t>
      </w:r>
      <w:r>
        <w:rPr>
          <w:rFonts w:hint="default" w:ascii="Times New Roman" w:hAnsi="Times New Roman" w:eastAsia="仿宋_GB2312" w:cs="Times New Roman"/>
          <w:color w:val="auto"/>
          <w:kern w:val="2"/>
          <w:sz w:val="30"/>
          <w:szCs w:val="30"/>
          <w:highlight w:val="none"/>
          <w:lang w:val="en-US" w:eastAsia="zh-CN" w:bidi="ar-SA"/>
        </w:rPr>
        <w:t>开发区中行担任管理部科长、发展部科长，兴业银行义乌支行担任客户经理、义乌市稠州城市信用社信贷管理部担任副主任、办公室主任、经理、浙江稠州城市信用社董事会办公室担任风险管理委员会副主任，浙江稠州商业银行担任董事会</w:t>
      </w:r>
      <w:r>
        <w:rPr>
          <w:rFonts w:hint="default" w:ascii="Times New Roman" w:hAnsi="Times New Roman" w:eastAsia="仿宋_GB2312" w:cs="Times New Roman"/>
          <w:color w:val="auto"/>
          <w:sz w:val="30"/>
          <w:szCs w:val="30"/>
          <w:highlight w:val="none"/>
        </w:rPr>
        <w:t>风险及关联交易控制委员会副主任</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义乌管理部风险总监</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风险管理部总经理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杭州分行风险总监</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舟山分行筹备组组长</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总行资产保全部副总经理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温州分行副行长</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金华分行公司银行部总经理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营业部总经理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现任浙江稠州商业银行金华分行</w:t>
      </w:r>
      <w:r>
        <w:rPr>
          <w:rFonts w:hint="default" w:ascii="Times New Roman" w:hAnsi="Times New Roman" w:eastAsia="仿宋_GB2312" w:cs="Times New Roman"/>
          <w:color w:val="auto"/>
          <w:sz w:val="30"/>
          <w:szCs w:val="30"/>
          <w:highlight w:val="none"/>
        </w:rPr>
        <w:t>法律合规部总经理</w:t>
      </w:r>
      <w:r>
        <w:rPr>
          <w:rFonts w:hint="eastAsia" w:eastAsia="仿宋_GB2312" w:cs="Times New Roman"/>
          <w:color w:val="auto"/>
          <w:sz w:val="30"/>
          <w:szCs w:val="30"/>
          <w:highlight w:val="none"/>
          <w:lang w:eastAsia="zh-CN"/>
        </w:rPr>
        <w:t>、</w:t>
      </w:r>
      <w:r>
        <w:rPr>
          <w:rFonts w:hint="eastAsia" w:eastAsia="仿宋_GB2312" w:cs="Times New Roman"/>
          <w:color w:val="auto"/>
          <w:sz w:val="30"/>
          <w:szCs w:val="30"/>
          <w:highlight w:val="none"/>
          <w:lang w:val="en-US" w:eastAsia="zh-CN"/>
        </w:rPr>
        <w:t>重庆北碚稠州村镇银行董事。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胡天进</w:t>
      </w:r>
      <w:r>
        <w:rPr>
          <w:rFonts w:hint="default" w:ascii="Times New Roman" w:hAnsi="Times New Roman" w:eastAsia="仿宋_GB2312" w:cs="Times New Roman"/>
          <w:color w:val="auto"/>
          <w:sz w:val="30"/>
          <w:szCs w:val="30"/>
          <w:highlight w:val="none"/>
        </w:rPr>
        <w:t>：男，19</w:t>
      </w:r>
      <w:r>
        <w:rPr>
          <w:rFonts w:hint="default" w:ascii="Times New Roman" w:hAnsi="Times New Roman" w:eastAsia="仿宋_GB2312" w:cs="Times New Roman"/>
          <w:color w:val="auto"/>
          <w:sz w:val="30"/>
          <w:szCs w:val="30"/>
          <w:highlight w:val="none"/>
          <w:lang w:val="en-US" w:eastAsia="zh-CN"/>
        </w:rPr>
        <w:t>85</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月生，</w:t>
      </w:r>
      <w:r>
        <w:rPr>
          <w:rFonts w:hint="default" w:ascii="Times New Roman" w:hAnsi="Times New Roman" w:eastAsia="仿宋_GB2312" w:cs="Times New Roman"/>
          <w:color w:val="auto"/>
          <w:sz w:val="30"/>
          <w:szCs w:val="30"/>
          <w:highlight w:val="none"/>
          <w:lang w:val="en-US" w:eastAsia="zh-CN"/>
        </w:rPr>
        <w:t>群众，本科</w:t>
      </w:r>
      <w:r>
        <w:rPr>
          <w:rFonts w:hint="default" w:ascii="Times New Roman" w:hAnsi="Times New Roman" w:eastAsia="仿宋_GB2312" w:cs="Times New Roman"/>
          <w:color w:val="auto"/>
          <w:sz w:val="30"/>
          <w:szCs w:val="30"/>
          <w:highlight w:val="none"/>
        </w:rPr>
        <w:t>学历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从事金融工作1</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年，曾任浙江稠州商业银行金华分行客户经理、副总经理（主持工作）、支行行长助理</w:t>
      </w:r>
      <w:r>
        <w:rPr>
          <w:rFonts w:hint="eastAsia" w:eastAsia="仿宋_GB2312" w:cs="Times New Roman"/>
          <w:color w:val="auto"/>
          <w:sz w:val="30"/>
          <w:szCs w:val="30"/>
          <w:highlight w:val="none"/>
          <w:lang w:val="en-US" w:eastAsia="zh-CN"/>
        </w:rPr>
        <w:t>、重庆北碚稠州村镇银行行长助理</w:t>
      </w:r>
      <w:r>
        <w:rPr>
          <w:rFonts w:hint="default" w:ascii="Times New Roman" w:hAnsi="Times New Roman" w:eastAsia="仿宋_GB2312" w:cs="Times New Roman"/>
          <w:color w:val="auto"/>
          <w:sz w:val="30"/>
          <w:szCs w:val="30"/>
          <w:highlight w:val="none"/>
          <w:lang w:val="en-US" w:eastAsia="zh-CN"/>
        </w:rPr>
        <w:t>。现任</w:t>
      </w:r>
      <w:r>
        <w:rPr>
          <w:rFonts w:hint="eastAsia" w:eastAsia="仿宋_GB2312" w:cs="Times New Roman"/>
          <w:color w:val="auto"/>
          <w:sz w:val="30"/>
          <w:szCs w:val="30"/>
          <w:highlight w:val="none"/>
          <w:lang w:val="en-US" w:eastAsia="zh-CN"/>
        </w:rPr>
        <w:t>金华分行磐安支行行长助理、</w:t>
      </w:r>
      <w:r>
        <w:rPr>
          <w:rFonts w:hint="default" w:ascii="Times New Roman" w:hAnsi="Times New Roman" w:eastAsia="仿宋_GB2312" w:cs="Times New Roman"/>
          <w:color w:val="auto"/>
          <w:sz w:val="30"/>
          <w:szCs w:val="30"/>
          <w:highlight w:val="none"/>
          <w:lang w:val="en-US" w:eastAsia="zh-CN"/>
        </w:rPr>
        <w:t>重庆北碚稠州村镇银行董事。</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w:t>
      </w:r>
      <w:r>
        <w:rPr>
          <w:rFonts w:hint="eastAsia" w:eastAsia="仿宋_GB2312" w:cs="Times New Roman"/>
          <w:b/>
          <w:bCs/>
          <w:color w:val="auto"/>
          <w:sz w:val="28"/>
          <w:szCs w:val="28"/>
          <w:highlight w:val="none"/>
          <w:lang w:val="en-US" w:eastAsia="zh-CN"/>
        </w:rPr>
        <w:t>二</w:t>
      </w:r>
      <w:r>
        <w:rPr>
          <w:rFonts w:hint="default" w:ascii="Times New Roman" w:hAnsi="Times New Roman" w:eastAsia="仿宋_GB2312" w:cs="Times New Roman"/>
          <w:b/>
          <w:bCs/>
          <w:color w:val="auto"/>
          <w:sz w:val="28"/>
          <w:szCs w:val="28"/>
          <w:highlight w:val="none"/>
        </w:rPr>
        <w:t>）高级管理人员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金庆洪</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陈余娟</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邓兰平：</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李思岚：女，1990年1月出生，群众，本科学历。从事金融工作13年，曾任重庆北碚稠州村镇银行柜员、运营管理部财务统计岗、会计检辅、电子银行岗。现任重庆北碚稠州村镇银行运营管理部总经理助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刘智明：男，1987年8月出生，专科学历。从事金融工作</w:t>
      </w:r>
      <w:r>
        <w:rPr>
          <w:rFonts w:hint="eastAsia" w:eastAsia="仿宋_GB2312" w:cs="Times New Roman"/>
          <w:color w:val="auto"/>
          <w:sz w:val="30"/>
          <w:szCs w:val="30"/>
          <w:highlight w:val="none"/>
          <w:lang w:val="en-US" w:eastAsia="zh-CN"/>
        </w:rPr>
        <w:t>9</w:t>
      </w:r>
      <w:r>
        <w:rPr>
          <w:rFonts w:hint="eastAsia" w:ascii="Times New Roman" w:hAnsi="Times New Roman" w:eastAsia="仿宋_GB2312" w:cs="Times New Roman"/>
          <w:color w:val="auto"/>
          <w:sz w:val="30"/>
          <w:szCs w:val="30"/>
          <w:highlight w:val="none"/>
          <w:lang w:val="en-US" w:eastAsia="zh-CN"/>
        </w:rPr>
        <w:t>年，曾任浙江稠州商业银行金华分行客户经理，重庆北碚稠州村镇银行静观支行普惠金融部经理。现任重庆北碚稠州村镇银行营业部副总经理（主持工作）。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 xml:space="preserve"> 杨彬：男，1987年12月出生，中共党员，本科学历。从事金融工作1</w:t>
      </w:r>
      <w:r>
        <w:rPr>
          <w:rFonts w:hint="eastAsia" w:eastAsia="仿宋_GB2312" w:cs="Times New Roman"/>
          <w:color w:val="auto"/>
          <w:sz w:val="30"/>
          <w:szCs w:val="30"/>
          <w:highlight w:val="none"/>
          <w:lang w:val="en-US" w:eastAsia="zh-CN"/>
        </w:rPr>
        <w:t>5</w:t>
      </w:r>
      <w:r>
        <w:rPr>
          <w:rFonts w:hint="eastAsia" w:ascii="Times New Roman" w:hAnsi="Times New Roman" w:eastAsia="仿宋_GB2312" w:cs="Times New Roman"/>
          <w:color w:val="auto"/>
          <w:sz w:val="30"/>
          <w:szCs w:val="30"/>
          <w:highlight w:val="none"/>
          <w:lang w:val="en-US" w:eastAsia="zh-CN"/>
        </w:rPr>
        <w:t>年，曾任浙江稠州商业银行金华分行支行行长助理、副行长、小微金融部经理。现任重庆北碚稠州村镇银行蔡家支行行长。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夏攀：女，1983年11月出生，群众，本科学历，从事金融工作14年，曾任重庆渝北银座村镇银行副总经理、厦门银行客户经理、恒丰银行重庆分行团队长，现任重庆北碚稠州村镇银行朝阳支行支行行长。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黄飞：男，1986年1月出生，专科学历。从事金融工作13年，曾任重庆农村商业银行职员，重庆忠县稠州村镇银行客户经理，重庆北碚稠州村镇银行普惠金融部经理、歇马支行行长。现任重庆北碚稠州村镇银行静观支行行长。</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6.3</w:t>
      </w:r>
      <w:r>
        <w:rPr>
          <w:rFonts w:hint="default" w:ascii="仿宋_GB2312" w:hAnsi="仿宋_GB2312" w:eastAsia="仿宋_GB2312" w:cs="仿宋_GB2312"/>
          <w:b/>
          <w:color w:val="auto"/>
          <w:sz w:val="30"/>
          <w:szCs w:val="30"/>
          <w:highlight w:val="none"/>
          <w:lang w:val="en-US" w:eastAsia="zh-CN"/>
        </w:rPr>
        <w:t>薪酬管理情况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（一）薪酬管理架构及决策程序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本公司薪酬管理组织架构包括股东</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100%发起行控股</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rPr>
        <w:t>、董事会及高级管理层</w:t>
      </w:r>
      <w:r>
        <w:rPr>
          <w:rFonts w:hint="eastAsia" w:eastAsia="仿宋_GB2312" w:cs="Times New Roman"/>
          <w:color w:val="auto"/>
          <w:sz w:val="30"/>
          <w:szCs w:val="30"/>
          <w:highlight w:val="none"/>
          <w:lang w:val="en-US" w:eastAsia="zh-CN"/>
        </w:rPr>
        <w:t>三</w:t>
      </w:r>
      <w:r>
        <w:rPr>
          <w:rFonts w:hint="eastAsia" w:ascii="Times New Roman" w:hAnsi="Times New Roman" w:eastAsia="仿宋_GB2312" w:cs="Times New Roman"/>
          <w:color w:val="auto"/>
          <w:sz w:val="30"/>
          <w:szCs w:val="30"/>
          <w:highlight w:val="none"/>
        </w:rPr>
        <w:t>个层面。在决策程序方面，本公司董事的薪酬标准及薪酬制度由股东决定；董事会按照国家有关法律和政策规定，负责公司薪酬管理制度和相关政策的制订，并对高级管理人员按年度进行绩效考核，决定高级管理人员薪酬标准；</w:t>
      </w:r>
      <w:r>
        <w:rPr>
          <w:rFonts w:hint="eastAsia" w:eastAsia="仿宋_GB2312" w:cs="Times New Roman"/>
          <w:color w:val="auto"/>
          <w:sz w:val="30"/>
          <w:szCs w:val="30"/>
          <w:highlight w:val="none"/>
          <w:lang w:val="en-US" w:eastAsia="zh-CN"/>
        </w:rPr>
        <w:t>审计委员会</w:t>
      </w:r>
      <w:r>
        <w:rPr>
          <w:rFonts w:hint="eastAsia" w:ascii="Times New Roman" w:hAnsi="Times New Roman" w:eastAsia="仿宋_GB2312" w:cs="Times New Roman"/>
          <w:color w:val="auto"/>
          <w:sz w:val="30"/>
          <w:szCs w:val="30"/>
          <w:highlight w:val="none"/>
        </w:rPr>
        <w:t>负责监督董事和高级管理人员的履职情况考核，按年度进行考核评价，并将董事的考核结果向股东大会报告；高级管理层负责组织实施董事会薪酬管理方面的决议，并接受董事会管理和</w:t>
      </w:r>
      <w:r>
        <w:rPr>
          <w:rFonts w:hint="eastAsia" w:eastAsia="仿宋_GB2312" w:cs="Times New Roman"/>
          <w:color w:val="auto"/>
          <w:sz w:val="30"/>
          <w:szCs w:val="30"/>
          <w:highlight w:val="none"/>
          <w:lang w:val="en-US" w:eastAsia="zh-CN"/>
        </w:rPr>
        <w:t>审计委员</w:t>
      </w:r>
      <w:r>
        <w:rPr>
          <w:rFonts w:hint="eastAsia" w:ascii="Times New Roman" w:hAnsi="Times New Roman" w:eastAsia="仿宋_GB2312" w:cs="Times New Roman"/>
          <w:color w:val="auto"/>
          <w:sz w:val="30"/>
          <w:szCs w:val="30"/>
          <w:highlight w:val="none"/>
        </w:rPr>
        <w:t>会监督。董事会下设薪酬与考核委员会，具体负责制定本公司董事及高级管理人员的考核标准并进行考核；负责制定、审查董事及高级管理人员的薪酬政策与方案，对董事会负责。</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（二）薪酬总量和结构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每年根据机构规模、经营业绩等情况制定年度薪酬预算方案，年度预算总额实行严格管控，因机构或人员编制新增的，按实追加相应薪酬费用。本公司薪酬包含基础薪酬、绩效薪酬、各项福利性收入，其中，基础薪酬和绩效薪酬占比严格按指引要求执行，绩效薪酬实行平时预发，年底考核后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_GB2312" w:cs="Times New Roman"/>
          <w:b/>
          <w:color w:val="auto"/>
          <w:kern w:val="0"/>
          <w:sz w:val="28"/>
          <w:szCs w:val="28"/>
          <w:highlight w:val="none"/>
        </w:rPr>
      </w:pPr>
      <w:r>
        <w:rPr>
          <w:rFonts w:hint="eastAsia" w:ascii="Times New Roman" w:hAnsi="Times New Roman" w:eastAsia="仿宋_GB2312" w:cs="Times New Roman"/>
          <w:b/>
          <w:color w:val="auto"/>
          <w:kern w:val="0"/>
          <w:sz w:val="28"/>
          <w:szCs w:val="28"/>
          <w:highlight w:val="none"/>
          <w:lang w:eastAsia="zh-CN"/>
        </w:rPr>
        <w:t>（</w:t>
      </w:r>
      <w:r>
        <w:rPr>
          <w:rFonts w:hint="eastAsia" w:ascii="Times New Roman" w:hAnsi="Times New Roman" w:eastAsia="仿宋_GB2312" w:cs="Times New Roman"/>
          <w:b/>
          <w:color w:val="auto"/>
          <w:kern w:val="0"/>
          <w:sz w:val="28"/>
          <w:szCs w:val="28"/>
          <w:highlight w:val="none"/>
          <w:lang w:val="en-US" w:eastAsia="zh-CN"/>
        </w:rPr>
        <w:t>三</w:t>
      </w:r>
      <w:r>
        <w:rPr>
          <w:rFonts w:hint="eastAsia" w:ascii="Times New Roman" w:hAnsi="Times New Roman" w:eastAsia="仿宋_GB2312" w:cs="Times New Roman"/>
          <w:b/>
          <w:color w:val="auto"/>
          <w:kern w:val="0"/>
          <w:sz w:val="28"/>
          <w:szCs w:val="28"/>
          <w:highlight w:val="none"/>
          <w:lang w:eastAsia="zh-CN"/>
        </w:rPr>
        <w:t>）</w:t>
      </w:r>
      <w:r>
        <w:rPr>
          <w:rFonts w:hint="default" w:ascii="Times New Roman" w:hAnsi="Times New Roman" w:eastAsia="仿宋_GB2312" w:cs="Times New Roman"/>
          <w:b/>
          <w:color w:val="auto"/>
          <w:kern w:val="0"/>
          <w:sz w:val="28"/>
          <w:szCs w:val="28"/>
          <w:highlight w:val="none"/>
        </w:rPr>
        <w:t>董事会、高级管理层及重要岗位人员薪酬信息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在本公司领取薪酬的董事、高级管理人员及重要岗位管理人员共1</w:t>
      </w: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人，</w:t>
      </w:r>
      <w:r>
        <w:rPr>
          <w:rFonts w:hint="eastAsia" w:ascii="Times New Roman" w:hAnsi="Times New Roman" w:eastAsia="仿宋_GB2312" w:cs="Times New Roman"/>
          <w:color w:val="auto"/>
          <w:sz w:val="30"/>
          <w:szCs w:val="30"/>
          <w:highlight w:val="none"/>
          <w:lang w:val="en-US" w:eastAsia="zh-CN"/>
        </w:rPr>
        <w:t>领取的总薪酬（税前）为</w:t>
      </w:r>
      <w:r>
        <w:rPr>
          <w:rFonts w:hint="eastAsia" w:eastAsia="仿宋_GB2312" w:cs="Times New Roman"/>
          <w:color w:val="auto"/>
          <w:sz w:val="30"/>
          <w:szCs w:val="30"/>
          <w:highlight w:val="none"/>
          <w:lang w:val="en-US" w:eastAsia="zh-CN"/>
        </w:rPr>
        <w:t>240</w:t>
      </w:r>
      <w:r>
        <w:rPr>
          <w:rFonts w:hint="eastAsia" w:ascii="Times New Roman" w:hAnsi="Times New Roman" w:eastAsia="仿宋_GB2312" w:cs="Times New Roman"/>
          <w:color w:val="auto"/>
          <w:sz w:val="30"/>
          <w:szCs w:val="30"/>
          <w:highlight w:val="none"/>
          <w:lang w:val="en-US" w:eastAsia="zh-CN"/>
        </w:rPr>
        <w:t>万元，</w:t>
      </w:r>
      <w:r>
        <w:rPr>
          <w:rFonts w:hint="default" w:ascii="Times New Roman" w:hAnsi="Times New Roman" w:eastAsia="仿宋_GB2312" w:cs="Times New Roman"/>
          <w:color w:val="auto"/>
          <w:sz w:val="30"/>
          <w:szCs w:val="30"/>
          <w:highlight w:val="none"/>
        </w:rPr>
        <w:t>股东董事、独立董事、股东监事及外部监事均不在本公司领取薪酬。董监事、高级管理人员及重要岗位管理人员年度薪酬结构分布情况如下：</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30"/>
        <w:gridCol w:w="45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年度报酬总额（税前）</w:t>
            </w:r>
          </w:p>
        </w:tc>
        <w:tc>
          <w:tcPr>
            <w:tcW w:w="4530" w:type="dxa"/>
            <w:noWrap w:val="0"/>
            <w:vAlign w:val="center"/>
          </w:tcPr>
          <w:p>
            <w:pPr>
              <w:widowControl/>
              <w:spacing w:line="320" w:lineRule="exact"/>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报酬数在15万元以上</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报酬数在10万元至15万元（含）</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报酬数在10万元（含）以下</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四</w:t>
      </w:r>
      <w:r>
        <w:rPr>
          <w:rFonts w:hint="default" w:ascii="Times New Roman" w:hAnsi="Times New Roman" w:eastAsia="仿宋_GB2312" w:cs="Times New Roman"/>
          <w:b/>
          <w:color w:val="auto"/>
          <w:kern w:val="0"/>
          <w:sz w:val="28"/>
          <w:szCs w:val="28"/>
          <w:highlight w:val="none"/>
        </w:rPr>
        <w:t>）薪酬延期支付情况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公司对高级管理人员以及对风险有重要影响岗位上的员工进行绩效薪酬延期支付，延期支付比例与业务分管、管理职级、风险影响程度等因素挂钩，最高达到50%比例。期限为三年，在延期支付时段中遵循等分原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五</w:t>
      </w:r>
      <w:r>
        <w:rPr>
          <w:rFonts w:hint="default" w:ascii="Times New Roman" w:hAnsi="Times New Roman" w:eastAsia="仿宋_GB2312" w:cs="Times New Roman"/>
          <w:b/>
          <w:color w:val="auto"/>
          <w:kern w:val="0"/>
          <w:sz w:val="28"/>
          <w:szCs w:val="28"/>
          <w:highlight w:val="none"/>
        </w:rPr>
        <w:t>）薪酬与业绩衡量、风险调整的标准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绩效薪酬部分与年度考核结果挂钩，年度考核内容遵循“银行业金融机构绩效考评监管指引”执行，基本涵盖合规经营类、风险管理类、经营效益类、创新发展类和社会责任类等指标。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六</w:t>
      </w: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bCs/>
          <w:color w:val="auto"/>
          <w:kern w:val="0"/>
          <w:sz w:val="28"/>
          <w:szCs w:val="28"/>
          <w:highlight w:val="none"/>
        </w:rPr>
        <w:t>年度薪酬方案制定符合商业银行稳健薪酬监管指引要求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公司积极履行社会责任，参与社会公益、教育助学、卫生医疗、节能环保、扶贫济困、养老帮扶、志愿服务等公益慈善事业，鼓励员工积极参与机构或其他社会组织开展的环境和社会公益活动，并明确将社会责任内容纳入年度考核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七</w:t>
      </w:r>
      <w:r>
        <w:rPr>
          <w:rFonts w:hint="default" w:ascii="Times New Roman" w:hAnsi="Times New Roman" w:eastAsia="仿宋_GB2312" w:cs="Times New Roman"/>
          <w:b/>
          <w:color w:val="auto"/>
          <w:kern w:val="0"/>
          <w:sz w:val="28"/>
          <w:szCs w:val="28"/>
          <w:highlight w:val="none"/>
        </w:rPr>
        <w:t>）超出原定薪酬方案的例外情况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报告期内，本公司无超出原定薪酬方案的例外情况</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lang w:val="en-US" w:eastAsia="zh-CN"/>
        </w:rPr>
        <w:t>6.4</w:t>
      </w:r>
      <w:r>
        <w:rPr>
          <w:rFonts w:hint="default" w:ascii="仿宋_GB2312" w:hAnsi="仿宋_GB2312" w:eastAsia="仿宋_GB2312" w:cs="仿宋_GB2312"/>
          <w:b/>
          <w:color w:val="auto"/>
          <w:sz w:val="30"/>
          <w:szCs w:val="30"/>
          <w:highlight w:val="none"/>
          <w:lang w:val="en-US" w:eastAsia="zh-CN"/>
        </w:rPr>
        <w:t>员工情况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公司秉承“为员工创造未来”的理念，坚持“以人为本”，努力为员工创造和谐融洽的成长环境、提供全方位的培训机会和多元化的发展平台，实现员工与企业的共同发展。报告期末，公司（含并表子公司）员工共计</w:t>
      </w:r>
      <w:r>
        <w:rPr>
          <w:rFonts w:hint="eastAsia" w:eastAsia="仿宋_GB2312" w:cs="Times New Roman"/>
          <w:color w:val="auto"/>
          <w:sz w:val="30"/>
          <w:szCs w:val="30"/>
          <w:highlight w:val="none"/>
          <w:lang w:val="en-US" w:eastAsia="zh-CN"/>
        </w:rPr>
        <w:t>88</w:t>
      </w:r>
      <w:r>
        <w:rPr>
          <w:rFonts w:hint="default" w:ascii="Times New Roman" w:hAnsi="Times New Roman" w:eastAsia="仿宋_GB2312" w:cs="Times New Roman"/>
          <w:color w:val="auto"/>
          <w:sz w:val="30"/>
          <w:szCs w:val="30"/>
          <w:highlight w:val="none"/>
        </w:rPr>
        <w:t>人，较年初</w:t>
      </w:r>
      <w:r>
        <w:rPr>
          <w:rFonts w:hint="eastAsia" w:eastAsia="仿宋_GB2312" w:cs="Times New Roman"/>
          <w:color w:val="auto"/>
          <w:sz w:val="30"/>
          <w:szCs w:val="30"/>
          <w:highlight w:val="none"/>
          <w:lang w:val="en-US" w:eastAsia="zh-CN"/>
        </w:rPr>
        <w:t>减少12</w:t>
      </w:r>
      <w:r>
        <w:rPr>
          <w:rFonts w:hint="default" w:ascii="Times New Roman" w:hAnsi="Times New Roman" w:eastAsia="仿宋_GB2312" w:cs="Times New Roman"/>
          <w:color w:val="auto"/>
          <w:sz w:val="30"/>
          <w:szCs w:val="30"/>
          <w:highlight w:val="none"/>
        </w:rPr>
        <w:t>人，</w:t>
      </w:r>
      <w:r>
        <w:rPr>
          <w:rFonts w:hint="eastAsia" w:eastAsia="仿宋_GB2312" w:cs="Times New Roman"/>
          <w:color w:val="auto"/>
          <w:sz w:val="30"/>
          <w:szCs w:val="30"/>
          <w:highlight w:val="none"/>
          <w:lang w:val="en-US" w:eastAsia="zh-CN"/>
        </w:rPr>
        <w:t>减幅12</w:t>
      </w:r>
      <w:r>
        <w:rPr>
          <w:rFonts w:hint="default" w:ascii="Times New Roman" w:hAnsi="Times New Roman" w:eastAsia="仿宋_GB2312" w:cs="Times New Roman"/>
          <w:color w:val="auto"/>
          <w:sz w:val="30"/>
          <w:szCs w:val="30"/>
          <w:highlight w:val="none"/>
        </w:rPr>
        <w:t>%；按学历划分，大专及以上学历员工占比97.</w:t>
      </w:r>
      <w:r>
        <w:rPr>
          <w:rFonts w:hint="eastAsia" w:eastAsia="仿宋_GB2312" w:cs="Times New Roman"/>
          <w:color w:val="auto"/>
          <w:sz w:val="30"/>
          <w:szCs w:val="30"/>
          <w:highlight w:val="none"/>
          <w:lang w:val="en-US" w:eastAsia="zh-CN"/>
        </w:rPr>
        <w:t>72</w:t>
      </w:r>
      <w:r>
        <w:rPr>
          <w:rFonts w:hint="default" w:ascii="Times New Roman" w:hAnsi="Times New Roman" w:eastAsia="仿宋_GB2312" w:cs="Times New Roman"/>
          <w:color w:val="auto"/>
          <w:sz w:val="30"/>
          <w:szCs w:val="30"/>
          <w:highlight w:val="none"/>
        </w:rPr>
        <w:t>%，其中硕士研究生以上占比</w:t>
      </w:r>
      <w:r>
        <w:rPr>
          <w:rFonts w:hint="eastAsia" w:eastAsia="仿宋_GB2312" w:cs="Times New Roman"/>
          <w:color w:val="auto"/>
          <w:sz w:val="30"/>
          <w:szCs w:val="30"/>
          <w:highlight w:val="none"/>
          <w:lang w:val="en-US" w:eastAsia="zh-CN"/>
        </w:rPr>
        <w:t>4.65</w:t>
      </w:r>
      <w:r>
        <w:rPr>
          <w:rFonts w:hint="default" w:ascii="Times New Roman" w:hAnsi="Times New Roman" w:eastAsia="仿宋_GB2312" w:cs="Times New Roman"/>
          <w:color w:val="auto"/>
          <w:sz w:val="30"/>
          <w:szCs w:val="30"/>
          <w:highlight w:val="none"/>
        </w:rPr>
        <w:t>%，本科学历占比</w:t>
      </w:r>
      <w:r>
        <w:rPr>
          <w:rFonts w:hint="eastAsia" w:eastAsia="仿宋_GB2312" w:cs="Times New Roman"/>
          <w:color w:val="auto"/>
          <w:sz w:val="30"/>
          <w:szCs w:val="30"/>
          <w:highlight w:val="none"/>
          <w:lang w:val="en-US" w:eastAsia="zh-CN"/>
        </w:rPr>
        <w:t>67.44</w:t>
      </w:r>
      <w:r>
        <w:rPr>
          <w:rFonts w:hint="default" w:ascii="Times New Roman" w:hAnsi="Times New Roman" w:eastAsia="仿宋_GB2312" w:cs="Times New Roman"/>
          <w:color w:val="auto"/>
          <w:sz w:val="30"/>
          <w:szCs w:val="30"/>
          <w:highlight w:val="none"/>
        </w:rPr>
        <w:t>%。</w:t>
      </w:r>
    </w:p>
    <w:p>
      <w:pPr>
        <w:keepNext w:val="0"/>
        <w:keepLines w:val="0"/>
        <w:pageBreakBefore w:val="0"/>
        <w:widowControl w:val="0"/>
        <w:kinsoku/>
        <w:wordWrap/>
        <w:overflowPunct/>
        <w:topLinePunct w:val="0"/>
        <w:autoSpaceDE/>
        <w:autoSpaceDN/>
        <w:bidi w:val="0"/>
        <w:spacing w:line="560" w:lineRule="exact"/>
        <w:ind w:left="413"/>
        <w:jc w:val="both"/>
        <w:textAlignment w:val="auto"/>
        <w:rPr>
          <w:rFonts w:hint="default" w:ascii="Times New Roman" w:hAnsi="Times New Roman" w:eastAsia="仿宋_GB2312" w:cs="Times New Roman"/>
          <w:b/>
          <w:color w:val="auto"/>
          <w:sz w:val="30"/>
          <w:szCs w:val="30"/>
          <w:highlight w:val="none"/>
        </w:rPr>
      </w:pPr>
      <w:r>
        <w:rPr>
          <w:rFonts w:hint="eastAsia" w:eastAsia="仿宋_GB2312" w:cs="Times New Roman"/>
          <w:b/>
          <w:color w:val="auto"/>
          <w:sz w:val="30"/>
          <w:szCs w:val="30"/>
          <w:highlight w:val="none"/>
          <w:lang w:val="en-US" w:eastAsia="zh-CN"/>
        </w:rPr>
        <w:t>6.5</w:t>
      </w:r>
      <w:r>
        <w:rPr>
          <w:rFonts w:hint="default" w:ascii="Times New Roman" w:hAnsi="Times New Roman" w:eastAsia="仿宋_GB2312" w:cs="Times New Roman"/>
          <w:b/>
          <w:color w:val="auto"/>
          <w:sz w:val="30"/>
          <w:szCs w:val="30"/>
          <w:highlight w:val="none"/>
        </w:rPr>
        <w:t>分支机构情况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报告期末，本行有营业部、</w:t>
      </w:r>
      <w:r>
        <w:rPr>
          <w:rFonts w:hint="default" w:ascii="Times New Roman" w:hAnsi="Times New Roman" w:eastAsia="仿宋_GB2312" w:cs="Times New Roman"/>
          <w:color w:val="auto"/>
          <w:sz w:val="30"/>
          <w:szCs w:val="30"/>
          <w:highlight w:val="none"/>
          <w:lang w:val="en-US" w:eastAsia="zh-CN"/>
        </w:rPr>
        <w:t>蔡家支行</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en-US" w:eastAsia="zh-CN"/>
        </w:rPr>
        <w:t>朝阳支行、歇马支行、静观支行5</w:t>
      </w:r>
      <w:r>
        <w:rPr>
          <w:rFonts w:hint="default" w:ascii="Times New Roman" w:hAnsi="Times New Roman" w:eastAsia="仿宋_GB2312" w:cs="Times New Roman"/>
          <w:color w:val="auto"/>
          <w:sz w:val="30"/>
          <w:szCs w:val="30"/>
          <w:highlight w:val="none"/>
        </w:rPr>
        <w:t>个网点。分支机构情况详见下表：</w:t>
      </w:r>
    </w:p>
    <w:tbl>
      <w:tblPr>
        <w:tblStyle w:val="4"/>
        <w:tblW w:w="84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7"/>
        <w:gridCol w:w="2084"/>
        <w:gridCol w:w="57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2084"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机构名称</w:t>
            </w:r>
          </w:p>
        </w:tc>
        <w:tc>
          <w:tcPr>
            <w:tcW w:w="5749"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营业部</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重庆市北碚区云华路</w:t>
            </w:r>
            <w:r>
              <w:rPr>
                <w:rFonts w:hint="eastAsia" w:eastAsia="仿宋_GB2312" w:cs="Times New Roman"/>
                <w:color w:val="auto"/>
                <w:kern w:val="0"/>
                <w:sz w:val="24"/>
                <w:szCs w:val="24"/>
                <w:highlight w:val="none"/>
                <w:lang w:val="en-US" w:eastAsia="zh-CN"/>
              </w:rPr>
              <w:t>170</w:t>
            </w:r>
            <w:r>
              <w:rPr>
                <w:rFonts w:hint="default" w:ascii="Times New Roman" w:hAnsi="Times New Roman" w:eastAsia="仿宋_GB2312" w:cs="Times New Roman"/>
                <w:color w:val="auto"/>
                <w:kern w:val="0"/>
                <w:sz w:val="24"/>
                <w:szCs w:val="24"/>
                <w:highlight w:val="none"/>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蔡家支行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重庆市北碚区云荟路269号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朝阳支行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重庆市北碚区朝阳路72号、上海路81号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歇马支行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重庆市北碚区歇马路9号附2号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静观支行</w:t>
            </w:r>
          </w:p>
        </w:tc>
        <w:tc>
          <w:tcPr>
            <w:tcW w:w="5749" w:type="dxa"/>
            <w:noWrap w:val="0"/>
            <w:vAlign w:val="center"/>
          </w:tcPr>
          <w:p>
            <w:pPr>
              <w:widowControl/>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sz w:val="24"/>
                <w:szCs w:val="24"/>
                <w:highlight w:val="none"/>
                <w:u w:val="none"/>
              </w:rPr>
              <w:t>重庆北碚区静观镇花圃街12号、14号</w:t>
            </w:r>
          </w:p>
        </w:tc>
      </w:tr>
    </w:tbl>
    <w:p>
      <w:pPr>
        <w:pStyle w:val="3"/>
        <w:numPr>
          <w:ilvl w:val="0"/>
          <w:numId w:val="0"/>
        </w:numPr>
        <w:jc w:val="both"/>
        <w:rPr>
          <w:rFonts w:hint="eastAsia"/>
          <w:color w:val="auto"/>
          <w:highlight w:val="none"/>
        </w:rPr>
      </w:pPr>
    </w:p>
    <w:p>
      <w:pPr>
        <w:adjustRightInd w:val="0"/>
        <w:ind w:firstLine="602" w:firstLineChars="200"/>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7</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公司治理结构</w:t>
      </w:r>
    </w:p>
    <w:p>
      <w:pPr>
        <w:adjustRightInd w:val="0"/>
        <w:ind w:firstLine="590" w:firstLineChars="196"/>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 xml:space="preserve">7.1 </w:t>
      </w:r>
      <w:r>
        <w:rPr>
          <w:rFonts w:hint="default" w:ascii="Times New Roman" w:hAnsi="Times New Roman" w:eastAsia="仿宋_GB2312" w:cs="Times New Roman"/>
          <w:b/>
          <w:color w:val="auto"/>
          <w:sz w:val="30"/>
          <w:szCs w:val="30"/>
          <w:highlight w:val="none"/>
        </w:rPr>
        <w:t>公司治理情况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按照《中华人民共和国公司法》（以下简称“公司法”）、《中华人民共和国商业银行法》、《商业银行公司治理指引》等法律法规的要求建立了规范的治理结构，设立了董事会及其专门委员会、监事会和经营管理层，并分别制定了相应的议事规则和权力制衡机制。报告期内，公司不断完善公司治理结构，进一步明晰公司治理各主体的职责边界，积极开展资本补充工作，保护存款人的利益，为股东赢取回报，努力建设资本充足、内控严密、运营安全、效益良好的具有核心竞争优势的现代化银行。公司治理具体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eastAsia="zh-CN"/>
        </w:rPr>
      </w:pPr>
      <w:r>
        <w:rPr>
          <w:rFonts w:hint="eastAsia" w:ascii="Times New Roman" w:hAnsi="Times New Roman" w:eastAsia="仿宋_GB2312" w:cs="Times New Roman"/>
          <w:color w:val="auto"/>
          <w:sz w:val="30"/>
          <w:szCs w:val="30"/>
          <w:highlight w:val="none"/>
        </w:rPr>
        <w:t>（一）关于股东本公司具有较为合理的股权结构和运行规范制度，确保了所有股东享有平等地位并能够充分行使自己的权利。报告期末，公司股东总数</w:t>
      </w:r>
      <w:r>
        <w:rPr>
          <w:rFonts w:hint="eastAsia" w:ascii="Times New Roman" w:hAnsi="Times New Roman" w:eastAsia="仿宋_GB2312" w:cs="Times New Roman"/>
          <w:color w:val="auto"/>
          <w:sz w:val="30"/>
          <w:szCs w:val="30"/>
          <w:highlight w:val="none"/>
          <w:lang w:val="en-US" w:eastAsia="zh-CN"/>
        </w:rPr>
        <w:t>1</w:t>
      </w:r>
      <w:r>
        <w:rPr>
          <w:rFonts w:hint="eastAsia" w:ascii="Times New Roman" w:hAnsi="Times New Roman" w:eastAsia="仿宋_GB2312" w:cs="Times New Roman"/>
          <w:color w:val="auto"/>
          <w:sz w:val="30"/>
          <w:szCs w:val="30"/>
          <w:highlight w:val="none"/>
        </w:rPr>
        <w:t>户，其中法人股东</w:t>
      </w:r>
      <w:r>
        <w:rPr>
          <w:rFonts w:hint="eastAsia" w:ascii="Times New Roman" w:hAnsi="Times New Roman" w:eastAsia="仿宋_GB2312" w:cs="Times New Roman"/>
          <w:color w:val="auto"/>
          <w:sz w:val="30"/>
          <w:szCs w:val="30"/>
          <w:highlight w:val="none"/>
          <w:lang w:val="en-US" w:eastAsia="zh-CN"/>
        </w:rPr>
        <w:t>1</w:t>
      </w:r>
      <w:r>
        <w:rPr>
          <w:rFonts w:hint="eastAsia" w:ascii="Times New Roman" w:hAnsi="Times New Roman" w:eastAsia="仿宋_GB2312" w:cs="Times New Roman"/>
          <w:color w:val="auto"/>
          <w:sz w:val="30"/>
          <w:szCs w:val="30"/>
          <w:highlight w:val="none"/>
        </w:rPr>
        <w:t>户，合计持有股份</w:t>
      </w:r>
      <w:r>
        <w:rPr>
          <w:rFonts w:hint="eastAsia" w:ascii="Times New Roman" w:hAnsi="Times New Roman" w:eastAsia="仿宋_GB2312" w:cs="Times New Roman"/>
          <w:color w:val="auto"/>
          <w:sz w:val="30"/>
          <w:szCs w:val="30"/>
          <w:highlight w:val="none"/>
          <w:lang w:val="en-US" w:eastAsia="zh-CN"/>
        </w:rPr>
        <w:t>10000</w:t>
      </w:r>
      <w:r>
        <w:rPr>
          <w:rFonts w:hint="eastAsia" w:ascii="Times New Roman" w:hAnsi="Times New Roman" w:eastAsia="仿宋_GB2312" w:cs="Times New Roman"/>
          <w:color w:val="auto"/>
          <w:sz w:val="30"/>
          <w:szCs w:val="30"/>
          <w:highlight w:val="none"/>
        </w:rPr>
        <w:t>万股，占比</w:t>
      </w:r>
      <w:r>
        <w:rPr>
          <w:rFonts w:hint="eastAsia" w:ascii="Times New Roman" w:hAnsi="Times New Roman" w:eastAsia="仿宋_GB2312" w:cs="Times New Roman"/>
          <w:color w:val="auto"/>
          <w:sz w:val="30"/>
          <w:szCs w:val="30"/>
          <w:highlight w:val="none"/>
          <w:lang w:val="en-US" w:eastAsia="zh-CN"/>
        </w:rPr>
        <w:t>100</w:t>
      </w:r>
      <w:r>
        <w:rPr>
          <w:rFonts w:hint="eastAsia"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 xml:space="preserve"> 本公司</w:t>
      </w:r>
      <w:r>
        <w:rPr>
          <w:rFonts w:hint="eastAsia" w:ascii="Times New Roman" w:hAnsi="Times New Roman" w:eastAsia="仿宋_GB2312" w:cs="Times New Roman"/>
          <w:color w:val="auto"/>
          <w:sz w:val="30"/>
          <w:szCs w:val="30"/>
          <w:highlight w:val="none"/>
          <w:lang w:val="en-US" w:eastAsia="zh-CN"/>
        </w:rPr>
        <w:t>董事会和监事会</w:t>
      </w:r>
      <w:r>
        <w:rPr>
          <w:rFonts w:hint="eastAsia" w:ascii="Times New Roman" w:hAnsi="Times New Roman" w:eastAsia="仿宋_GB2312" w:cs="Times New Roman"/>
          <w:color w:val="auto"/>
          <w:sz w:val="30"/>
          <w:szCs w:val="30"/>
          <w:highlight w:val="none"/>
        </w:rPr>
        <w:t>会议的通知、召集、召开和表决程序均严格遵照《公司法》、本公司《章程》的规定，保证股东对公司重大事项的知情权、参与权和表决权。</w:t>
      </w:r>
    </w:p>
    <w:p>
      <w:pPr>
        <w:pStyle w:val="3"/>
        <w:numPr>
          <w:ilvl w:val="0"/>
          <w:numId w:val="0"/>
        </w:numPr>
        <w:ind w:left="750" w:leftChars="0"/>
        <w:jc w:val="both"/>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（二）股东职责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本行薪酬管理组织架构包括股东、董事会、监事会及高级管理层四个层面。在决策程序方面，</w:t>
      </w:r>
      <w:r>
        <w:rPr>
          <w:rFonts w:hint="eastAsia" w:ascii="Times New Roman" w:hAnsi="Times New Roman" w:eastAsia="仿宋_GB2312" w:cs="Times New Roman"/>
          <w:color w:val="auto"/>
          <w:sz w:val="30"/>
          <w:szCs w:val="30"/>
          <w:highlight w:val="none"/>
          <w:lang w:val="en-US" w:eastAsia="zh-CN"/>
        </w:rPr>
        <w:t>按照《公司法》规定，股东行使选举和更换董事、监事，决定有关董事、监事的报酬事项，审议批准董事会的报告，审议批准监事会的报告，审议批准公司的利润分配方案和弥补亏损方案，对公司增加或者减少注册资本做出决议；对公司合并、分立、解散、清算或者变更公司形式做出决议，修改公司章程，公司章程规定的其他职权。</w:t>
      </w:r>
      <w:r>
        <w:rPr>
          <w:rFonts w:hint="eastAsia" w:ascii="Times New Roman" w:hAnsi="Times New Roman" w:eastAsia="仿宋_GB2312" w:cs="Times New Roman"/>
          <w:color w:val="auto"/>
          <w:sz w:val="30"/>
          <w:szCs w:val="30"/>
          <w:highlight w:val="none"/>
        </w:rPr>
        <w:t>本行董事会按照国家有关法律和政策规定，负责公司薪酬管理制度和相关政策的制订，并对高级管理人员按年度进行绩效考核，决定高级管理人员薪酬标准；监事会负责监督董事、监事和高级管理人员的履职情况，按年度进行考核评价，并将董事及监事的考核结果向股东报告；管理层负责组织实施董事会薪酬管理方面的决议，并接受董事会管理和监事会监督。</w:t>
      </w:r>
      <w:r>
        <w:rPr>
          <w:rFonts w:hint="eastAsia" w:eastAsia="仿宋_GB2312" w:cs="Times New Roman"/>
          <w:color w:val="auto"/>
          <w:sz w:val="30"/>
          <w:szCs w:val="30"/>
          <w:highlight w:val="none"/>
          <w:lang w:val="en-US" w:eastAsia="zh-CN"/>
        </w:rPr>
        <w:t>2025年11月我行取消监事会，监事会的职权由董事会审计委员会承接。</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三</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202</w:t>
      </w:r>
      <w:r>
        <w:rPr>
          <w:rFonts w:hint="eastAsia" w:eastAsia="仿宋_GB2312" w:cs="Times New Roman"/>
          <w:color w:val="auto"/>
          <w:sz w:val="30"/>
          <w:szCs w:val="30"/>
          <w:highlight w:val="none"/>
          <w:lang w:val="en-US" w:eastAsia="zh-CN"/>
        </w:rPr>
        <w:t>5</w:t>
      </w:r>
      <w:r>
        <w:rPr>
          <w:rFonts w:hint="eastAsia" w:ascii="Times New Roman" w:hAnsi="Times New Roman" w:eastAsia="仿宋_GB2312" w:cs="Times New Roman"/>
          <w:color w:val="auto"/>
          <w:sz w:val="30"/>
          <w:szCs w:val="30"/>
          <w:highlight w:val="none"/>
          <w:lang w:val="en-US" w:eastAsia="zh-CN"/>
        </w:rPr>
        <w:t>年股东决定情况</w:t>
      </w:r>
    </w:p>
    <w:p>
      <w:pPr>
        <w:pStyle w:val="7"/>
        <w:keepNext w:val="0"/>
        <w:keepLines w:val="0"/>
        <w:pageBreakBefore w:val="0"/>
        <w:kinsoku/>
        <w:wordWrap/>
        <w:overflowPunct/>
        <w:topLinePunct w:val="0"/>
        <w:bidi w:val="0"/>
        <w:snapToGrid/>
        <w:spacing w:line="560" w:lineRule="exact"/>
        <w:jc w:val="both"/>
        <w:rPr>
          <w:rFonts w:hint="default" w:ascii="Times New Roman" w:hAnsi="Times New Roman" w:eastAsia="仿宋_GB2312" w:cs="Times New Roman"/>
          <w:b/>
          <w:bCs/>
          <w:color w:val="auto"/>
          <w:kern w:val="0"/>
          <w:sz w:val="30"/>
          <w:szCs w:val="30"/>
          <w:highlight w:val="none"/>
          <w:lang w:val="en-US" w:eastAsia="zh-CN"/>
        </w:rPr>
      </w:pPr>
      <w:r>
        <w:rPr>
          <w:rFonts w:hint="default" w:ascii="Times New Roman" w:hAnsi="Times New Roman" w:eastAsia="仿宋_GB2312" w:cs="Times New Roman"/>
          <w:b/>
          <w:bCs/>
          <w:color w:val="auto"/>
          <w:kern w:val="0"/>
          <w:sz w:val="30"/>
          <w:szCs w:val="30"/>
          <w:highlight w:val="none"/>
          <w:lang w:val="en-US" w:eastAsia="zh-CN"/>
        </w:rPr>
        <w:t>202</w:t>
      </w:r>
      <w:r>
        <w:rPr>
          <w:rFonts w:hint="eastAsia" w:ascii="Times New Roman" w:hAnsi="Times New Roman" w:eastAsia="仿宋_GB2312" w:cs="Times New Roman"/>
          <w:b/>
          <w:bCs/>
          <w:color w:val="auto"/>
          <w:kern w:val="0"/>
          <w:sz w:val="30"/>
          <w:szCs w:val="30"/>
          <w:highlight w:val="none"/>
          <w:lang w:val="en-US" w:eastAsia="zh-CN"/>
        </w:rPr>
        <w:t>5</w:t>
      </w:r>
      <w:r>
        <w:rPr>
          <w:rFonts w:hint="default" w:ascii="Times New Roman" w:hAnsi="Times New Roman" w:eastAsia="仿宋_GB2312" w:cs="Times New Roman"/>
          <w:b/>
          <w:bCs/>
          <w:color w:val="auto"/>
          <w:kern w:val="0"/>
          <w:sz w:val="30"/>
          <w:szCs w:val="30"/>
          <w:highlight w:val="none"/>
          <w:lang w:val="en-US" w:eastAsia="zh-CN"/>
        </w:rPr>
        <w:t>年股东决定情况：</w:t>
      </w:r>
    </w:p>
    <w:p>
      <w:pPr>
        <w:pStyle w:val="7"/>
        <w:keepNext w:val="0"/>
        <w:keepLines w:val="0"/>
        <w:pageBreakBefore w:val="0"/>
        <w:numPr>
          <w:ilvl w:val="0"/>
          <w:numId w:val="2"/>
        </w:numPr>
        <w:kinsoku/>
        <w:wordWrap/>
        <w:overflowPunct/>
        <w:topLinePunct w:val="0"/>
        <w:bidi w:val="0"/>
        <w:snapToGrid/>
        <w:spacing w:line="560" w:lineRule="exact"/>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lang w:val="en-US" w:eastAsia="zh-CN"/>
        </w:rPr>
        <w:t>月2</w:t>
      </w: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法定代表人变更为金庆洪、同意《免去羊茂卿公司董事职务》的议案、同意《任命金庆洪为公司董事》的议案、同意《新公司章程修订》的议案、同意《关于重庆北碚稠州村镇银行董事会对董事长授权方案》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年3月2</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日作出如下决定：同意</w:t>
      </w:r>
      <w:r>
        <w:rPr>
          <w:rFonts w:hint="eastAsia" w:ascii="Times New Roman" w:hAnsi="Times New Roman" w:eastAsia="仿宋_GB2312" w:cs="Times New Roman"/>
          <w:color w:val="auto"/>
          <w:sz w:val="30"/>
          <w:szCs w:val="30"/>
          <w:highlight w:val="none"/>
          <w:lang w:val="en-US" w:eastAsia="zh-CN"/>
        </w:rPr>
        <w:t xml:space="preserve">《重庆北碚稠州村镇银行2024年度董事会工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作报告》的议案</w:t>
      </w:r>
      <w:r>
        <w:rPr>
          <w:rFonts w:hint="default" w:ascii="Times New Roman" w:hAnsi="Times New Roman" w:eastAsia="仿宋_GB2312" w:cs="Times New Roman"/>
          <w:color w:val="auto"/>
          <w:sz w:val="30"/>
          <w:szCs w:val="30"/>
          <w:highlight w:val="none"/>
          <w:lang w:val="en-US" w:eastAsia="zh-CN"/>
        </w:rPr>
        <w:t>、同意</w:t>
      </w:r>
      <w:r>
        <w:rPr>
          <w:rFonts w:hint="eastAsia" w:ascii="Times New Roman" w:hAnsi="Times New Roman" w:eastAsia="仿宋_GB2312" w:cs="Times New Roman"/>
          <w:color w:val="auto"/>
          <w:sz w:val="30"/>
          <w:szCs w:val="30"/>
          <w:highlight w:val="none"/>
          <w:lang w:val="en-US" w:eastAsia="zh-CN"/>
        </w:rPr>
        <w:t>《重庆北碚稠州村镇银行2024年度财务决算及2025年度财务预算的报告》的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《关于重庆北碚稠州村镇银行2024年度利润分配方案》的议案</w:t>
      </w:r>
      <w:r>
        <w:rPr>
          <w:rFonts w:hint="default" w:ascii="Times New Roman" w:hAnsi="Times New Roman" w:eastAsia="仿宋_GB2312" w:cs="Times New Roman"/>
          <w:color w:val="auto"/>
          <w:sz w:val="30"/>
          <w:szCs w:val="30"/>
          <w:highlight w:val="none"/>
          <w:lang w:val="en-US" w:eastAsia="zh-CN"/>
        </w:rPr>
        <w:t>、同意</w:t>
      </w:r>
      <w:r>
        <w:rPr>
          <w:rFonts w:hint="eastAsia" w:ascii="Times New Roman" w:hAnsi="Times New Roman" w:eastAsia="仿宋_GB2312" w:cs="Times New Roman"/>
          <w:color w:val="auto"/>
          <w:sz w:val="30"/>
          <w:szCs w:val="30"/>
          <w:highlight w:val="none"/>
          <w:lang w:val="en-US" w:eastAsia="zh-CN"/>
        </w:rPr>
        <w:t>《重庆北碚稠州村镇银行2024年度经营情况和2025年度工作重点的报告》</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《关于重庆北碚稠州村镇银行2024年度高级管理层经营目标考核情况》</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《关于重庆北碚稠州村镇银行高级管理层2025年度薪酬绩效考核办法》</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《重庆北碚稠州村镇银行2024年度资本管理及资本补充能力报告》</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《重庆北碚稠州村镇银行资本三年规划 (2025-2027)》的</w:t>
      </w:r>
      <w:r>
        <w:rPr>
          <w:rFonts w:hint="default" w:ascii="Times New Roman" w:hAnsi="Times New Roman" w:eastAsia="仿宋_GB2312" w:cs="Times New Roman"/>
          <w:color w:val="auto"/>
          <w:sz w:val="30"/>
          <w:szCs w:val="30"/>
          <w:highlight w:val="none"/>
          <w:lang w:val="en-US" w:eastAsia="zh-CN"/>
        </w:rPr>
        <w:t>议案、同意</w:t>
      </w:r>
      <w:r>
        <w:rPr>
          <w:rFonts w:hint="eastAsia" w:ascii="Times New Roman" w:hAnsi="Times New Roman" w:eastAsia="仿宋_GB2312" w:cs="Times New Roman"/>
          <w:color w:val="auto"/>
          <w:sz w:val="30"/>
          <w:szCs w:val="30"/>
          <w:highlight w:val="none"/>
          <w:lang w:val="en-US" w:eastAsia="zh-CN"/>
        </w:rPr>
        <w:t>《重庆北碚稠州村镇银行2025年流动性风险偏好和流动性风险管理策略、政策和程序》</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《重庆北碚稠州村镇银行三年发展规划 (2025~2027)的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《关于重庆北碚稠州村镇银行2025年度业务发展规划》的</w:t>
      </w:r>
      <w:r>
        <w:rPr>
          <w:rFonts w:hint="default" w:ascii="Times New Roman" w:hAnsi="Times New Roman" w:eastAsia="仿宋_GB2312" w:cs="Times New Roman"/>
          <w:color w:val="auto"/>
          <w:sz w:val="30"/>
          <w:szCs w:val="30"/>
          <w:highlight w:val="none"/>
          <w:lang w:val="en-US" w:eastAsia="zh-CN"/>
        </w:rPr>
        <w:t>议案、同意</w:t>
      </w:r>
      <w:r>
        <w:rPr>
          <w:rFonts w:hint="eastAsia" w:ascii="Times New Roman" w:hAnsi="Times New Roman" w:eastAsia="仿宋_GB2312" w:cs="Times New Roman"/>
          <w:color w:val="auto"/>
          <w:sz w:val="30"/>
          <w:szCs w:val="30"/>
          <w:highlight w:val="none"/>
          <w:lang w:val="en-US" w:eastAsia="zh-CN"/>
        </w:rPr>
        <w:t>《关于聘请2025年度外部审计机构》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《关于重新提名重庆北碚稠州村镇银行有限责任公司第二届董事会组成人选》的</w:t>
      </w:r>
      <w:r>
        <w:rPr>
          <w:rFonts w:hint="default" w:ascii="Times New Roman" w:hAnsi="Times New Roman" w:eastAsia="仿宋_GB2312" w:cs="Times New Roman"/>
          <w:color w:val="auto"/>
          <w:sz w:val="30"/>
          <w:szCs w:val="30"/>
          <w:highlight w:val="none"/>
          <w:lang w:val="en-US" w:eastAsia="zh-CN"/>
        </w:rPr>
        <w:t>的议案</w:t>
      </w:r>
      <w:r>
        <w:rPr>
          <w:rFonts w:hint="eastAsia" w:ascii="Times New Roman" w:hAnsi="Times New Roman" w:eastAsia="仿宋_GB2312" w:cs="Times New Roman"/>
          <w:color w:val="auto"/>
          <w:sz w:val="30"/>
          <w:szCs w:val="30"/>
          <w:highlight w:val="none"/>
          <w:lang w:val="en-US" w:eastAsia="zh-CN"/>
        </w:rPr>
        <w:t>、同意《关于重庆北碚稠州村镇银行有限责任公司总部选址及搬迁规划》的议案、同意《重庆北碚稠州村镇银行2024年度监事会工作报告》的议案、同意《重庆</w:t>
      </w:r>
      <w:r>
        <w:rPr>
          <w:rFonts w:hint="eastAsia" w:eastAsia="仿宋_GB2312" w:cs="Times New Roman"/>
          <w:color w:val="auto"/>
          <w:sz w:val="30"/>
          <w:szCs w:val="30"/>
          <w:highlight w:val="none"/>
          <w:lang w:val="en-US" w:eastAsia="zh-CN"/>
        </w:rPr>
        <w:t>北碚</w:t>
      </w:r>
      <w:r>
        <w:rPr>
          <w:rFonts w:hint="eastAsia" w:ascii="Times New Roman" w:hAnsi="Times New Roman" w:eastAsia="仿宋_GB2312" w:cs="Times New Roman"/>
          <w:color w:val="auto"/>
          <w:sz w:val="30"/>
          <w:szCs w:val="30"/>
          <w:highlight w:val="none"/>
          <w:lang w:val="en-US" w:eastAsia="zh-CN"/>
        </w:rPr>
        <w:t>稠州村镇银行监事会对董事会、董事及高级管理层、高级管理人员2024年度履职评价的报告》的议案、同意《重庆</w:t>
      </w:r>
      <w:r>
        <w:rPr>
          <w:rFonts w:hint="eastAsia" w:eastAsia="仿宋_GB2312" w:cs="Times New Roman"/>
          <w:color w:val="auto"/>
          <w:sz w:val="30"/>
          <w:szCs w:val="30"/>
          <w:highlight w:val="none"/>
          <w:lang w:val="en-US" w:eastAsia="zh-CN"/>
        </w:rPr>
        <w:t>北碚</w:t>
      </w:r>
      <w:r>
        <w:rPr>
          <w:rFonts w:hint="eastAsia" w:ascii="Times New Roman" w:hAnsi="Times New Roman" w:eastAsia="仿宋_GB2312" w:cs="Times New Roman"/>
          <w:color w:val="auto"/>
          <w:sz w:val="30"/>
          <w:szCs w:val="30"/>
          <w:highlight w:val="none"/>
          <w:lang w:val="en-US" w:eastAsia="zh-CN"/>
        </w:rPr>
        <w:t>稠州村镇银行监事会对监事2024 年度履职评价的报告》的议案、 同意《关于重新提名</w:t>
      </w:r>
      <w:r>
        <w:rPr>
          <w:rFonts w:hint="eastAsia" w:eastAsia="仿宋_GB2312" w:cs="Times New Roman"/>
          <w:color w:val="auto"/>
          <w:sz w:val="30"/>
          <w:szCs w:val="30"/>
          <w:highlight w:val="none"/>
          <w:lang w:val="en-US" w:eastAsia="zh-CN"/>
        </w:rPr>
        <w:t>重庆北碚</w:t>
      </w:r>
      <w:r>
        <w:rPr>
          <w:rFonts w:hint="eastAsia" w:ascii="Times New Roman" w:hAnsi="Times New Roman" w:eastAsia="仿宋_GB2312" w:cs="Times New Roman"/>
          <w:color w:val="auto"/>
          <w:sz w:val="30"/>
          <w:szCs w:val="30"/>
          <w:highlight w:val="none"/>
          <w:lang w:val="en-US" w:eastAsia="zh-CN"/>
        </w:rPr>
        <w:t xml:space="preserve">稠州村镇银行有限贡任公司第二届监事会组成人选》的议案。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同意《重庆北碚稠州村镇银行有限贵任公司董事会授权书》的议案；同意《重庆北碚稠州村镇银行内部审计章程》和《重庆北碚稠州村镇银行内部审计规程》</w:t>
      </w:r>
      <w:r>
        <w:rPr>
          <w:rFonts w:hint="default" w:ascii="Times New Roman" w:hAnsi="Times New Roman" w:eastAsia="仿宋_GB2312" w:cs="Times New Roman"/>
          <w:color w:val="auto"/>
          <w:sz w:val="30"/>
          <w:szCs w:val="30"/>
          <w:highlight w:val="none"/>
          <w:lang w:val="en-US" w:eastAsia="zh-CN"/>
        </w:rPr>
        <w:t>的议案。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关于胡天进先生辞去重庆北碚稠州村镇银行有限责任公司行长助理》的议案、《重庆北碚稠州村镇银行反洗钱及反恐怖融资工作审计报告》的议案、同意《重庆北碚稠州村镇银行消费者权益保护工作审计报告的议案》、同意《重庆北碚稠州村镇银行有限责任公司监事会关于上会会计师事务所(特殊普通合伙)审计工作的评估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同意《关于重庆北碚稠州村镇银行2025年度董事会对董事长授权方案》的议案；  同意《关于重庆北碚稠州村镇银行2025年度董事会对行长授权方案》的议案。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11</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17</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同意《重庆北碚稠州村镇银行关于存款保险风险警示函的整改报告》的议案。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 xml:space="preserve">同意《关于修订重庆北碚稠州村镇银行有限责任公司公司章程》的议案、同意《关于修订重庆北碚稠州村镇银行有限责任公司董事会审计委员会工作规则》的议案、同意《关于不再设立监事会、解聘现任监事》的议案、同意《本公司不再设立监事会》的议案、同意《解聘章宜、樊国华、王冬全体现任监事职务》的议案、 同意《关于提名重庆北碚稠州村镇银行有限责任公司第二届重事会任期届满进行换届选举及相关事宜》的议案、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同意《关于重庆北碚稠州村镇银行有限责任公司2024年股东年度评估的报告》的议案、同意《关于重庆北储稠州村镇银行2025年半年度工作总结和下半年工作思路报告》的议案、同意《关于2024年流动性风险应急计划评估报告》的议案、 同意《关于2024年关联交易年度报告》的议案、同意《关于调整公司治理结构、办公地址搬迁及董事换届侯选人的临时披露公告》的议案、同意《关于2024年年度数据治理报告》的议案。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7</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2024年12月16日作出如下决定：同意《选举邓兰平先生为重庆北碚稠州村镇银行有限责任公司》董事、同意《姜蕾女士辞去重庆北碚稠州村镇银行有限责任公司监事会主席、监事》的议案、同意《选举章宜女士为重庆北碚稠州村镇银行有限责任公司》监事、同意《重庆北碚稠州村镇银行有限责任公司董（监）事和高级管理人员履职问责办法》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22</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同意《2025年董事会对行长的授权书》的议案。</w:t>
      </w:r>
    </w:p>
    <w:p>
      <w:pPr>
        <w:pStyle w:val="3"/>
        <w:keepNext w:val="0"/>
        <w:keepLines w:val="0"/>
        <w:pageBreakBefore w:val="0"/>
        <w:numPr>
          <w:ilvl w:val="0"/>
          <w:numId w:val="0"/>
        </w:numPr>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四</w:t>
      </w:r>
      <w:r>
        <w:rPr>
          <w:rFonts w:hint="default" w:ascii="Times New Roman" w:hAnsi="Times New Roman" w:eastAsia="仿宋_GB2312" w:cs="Times New Roman"/>
          <w:color w:val="auto"/>
          <w:sz w:val="30"/>
          <w:szCs w:val="30"/>
          <w:highlight w:val="none"/>
          <w:lang w:val="en-US" w:eastAsia="zh-CN"/>
        </w:rPr>
        <w:t>）董事会职责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zh-CN"/>
        </w:rPr>
      </w:pPr>
      <w:r>
        <w:rPr>
          <w:rFonts w:hint="default" w:ascii="Times New Roman" w:hAnsi="Times New Roman" w:eastAsia="仿宋_GB2312" w:cs="Times New Roman"/>
          <w:color w:val="auto"/>
          <w:kern w:val="0"/>
          <w:sz w:val="30"/>
          <w:szCs w:val="30"/>
          <w:highlight w:val="none"/>
          <w:lang w:val="en-US" w:eastAsia="zh-CN"/>
        </w:rPr>
        <w:t>董事会职责：按照我行《公司章程》</w:t>
      </w:r>
      <w:r>
        <w:rPr>
          <w:rFonts w:hint="default" w:ascii="Times New Roman" w:hAnsi="Times New Roman" w:eastAsia="仿宋_GB2312" w:cs="Times New Roman"/>
          <w:color w:val="auto"/>
          <w:sz w:val="30"/>
          <w:szCs w:val="30"/>
          <w:highlight w:val="none"/>
          <w:lang w:val="zh-CN"/>
        </w:rPr>
        <w:t>董事会行使下列职权：</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1.</w:t>
      </w:r>
      <w:r>
        <w:rPr>
          <w:rFonts w:hint="eastAsia" w:ascii="仿宋_GB2312" w:eastAsia="仿宋_GB2312" w:cs="仿宋_GB2312"/>
          <w:color w:val="auto"/>
          <w:sz w:val="30"/>
          <w:szCs w:val="30"/>
          <w:highlight w:val="none"/>
          <w:lang w:val="zh-CN"/>
        </w:rPr>
        <w:t>向股东报告工作；</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2.</w:t>
      </w:r>
      <w:r>
        <w:rPr>
          <w:rFonts w:hint="eastAsia" w:ascii="仿宋_GB2312" w:eastAsia="仿宋_GB2312" w:cs="仿宋_GB2312"/>
          <w:color w:val="auto"/>
          <w:sz w:val="30"/>
          <w:szCs w:val="30"/>
          <w:highlight w:val="none"/>
          <w:lang w:val="zh-CN"/>
        </w:rPr>
        <w:t>执行股东的决定；</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3.</w:t>
      </w:r>
      <w:r>
        <w:rPr>
          <w:rFonts w:hint="eastAsia" w:ascii="仿宋_GB2312" w:eastAsia="仿宋_GB2312" w:cs="仿宋_GB2312"/>
          <w:color w:val="auto"/>
          <w:sz w:val="30"/>
          <w:szCs w:val="30"/>
          <w:highlight w:val="none"/>
          <w:lang w:val="zh-CN"/>
        </w:rPr>
        <w:t>决定本行的经营计划、</w:t>
      </w:r>
      <w:r>
        <w:rPr>
          <w:rFonts w:hint="eastAsia" w:ascii="仿宋_GB2312" w:eastAsia="仿宋_GB2312" w:cs="仿宋_GB2312"/>
          <w:color w:val="auto"/>
          <w:sz w:val="30"/>
          <w:szCs w:val="30"/>
          <w:highlight w:val="none"/>
          <w:lang w:val="en-US" w:eastAsia="zh-CN"/>
        </w:rPr>
        <w:t>投资方案和发展战略</w:t>
      </w:r>
      <w:r>
        <w:rPr>
          <w:rFonts w:hint="eastAsia" w:ascii="仿宋_GB2312" w:eastAsia="仿宋_GB2312" w:cs="仿宋_GB2312"/>
          <w:color w:val="auto"/>
          <w:sz w:val="30"/>
          <w:szCs w:val="30"/>
          <w:highlight w:val="none"/>
          <w:lang w:val="zh-CN"/>
        </w:rPr>
        <w:t>；</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4.</w:t>
      </w:r>
      <w:r>
        <w:rPr>
          <w:rFonts w:hint="eastAsia" w:ascii="仿宋_GB2312" w:eastAsia="仿宋_GB2312" w:cs="仿宋_GB2312"/>
          <w:color w:val="auto"/>
          <w:sz w:val="30"/>
          <w:szCs w:val="30"/>
          <w:highlight w:val="none"/>
          <w:lang w:val="zh-CN"/>
        </w:rPr>
        <w:t>制订本行的年度财务预算方案、决算方案、利润分配方案和亏损弥补方案；</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5.</w:t>
      </w:r>
      <w:r>
        <w:rPr>
          <w:rFonts w:hint="eastAsia" w:ascii="仿宋_GB2312" w:eastAsia="仿宋_GB2312" w:cs="仿宋_GB2312"/>
          <w:color w:val="auto"/>
          <w:sz w:val="30"/>
          <w:szCs w:val="30"/>
          <w:highlight w:val="none"/>
          <w:lang w:val="zh-CN"/>
        </w:rPr>
        <w:t>制订本行增加或减少注册资本的方案、</w:t>
      </w:r>
      <w:r>
        <w:rPr>
          <w:rFonts w:hint="eastAsia" w:ascii="仿宋_GB2312" w:eastAsia="仿宋_GB2312" w:cs="仿宋_GB2312"/>
          <w:color w:val="auto"/>
          <w:sz w:val="30"/>
          <w:szCs w:val="30"/>
          <w:highlight w:val="none"/>
          <w:lang w:val="en-US" w:eastAsia="zh-CN"/>
        </w:rPr>
        <w:t>资本补充方案、财务重组方案</w:t>
      </w:r>
      <w:r>
        <w:rPr>
          <w:rFonts w:hint="eastAsia" w:ascii="仿宋_GB2312" w:eastAsia="仿宋_GB2312" w:cs="仿宋_GB2312"/>
          <w:color w:val="auto"/>
          <w:sz w:val="30"/>
          <w:szCs w:val="30"/>
          <w:highlight w:val="none"/>
          <w:lang w:val="zh-CN"/>
        </w:rPr>
        <w:t>；</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6.制定本行风险管理、内部控制等基本管理制度，并监督制度的执行情况。</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7.制定本行合并、分立、解散及变更公司形式的方案；</w:t>
      </w:r>
    </w:p>
    <w:p>
      <w:pPr>
        <w:autoSpaceDE w:val="0"/>
        <w:autoSpaceDN w:val="0"/>
        <w:adjustRightInd w:val="0"/>
        <w:spacing w:line="560" w:lineRule="exact"/>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 xml:space="preserve">    8.聘任或解聘本行行长，根据行长提名聘任或解聘副行长及法律规定应当由董事会聘任或解聘的其他高级管理人员，并决定其报酬和奖惩事项；</w:t>
      </w:r>
    </w:p>
    <w:p>
      <w:pPr>
        <w:autoSpaceDE w:val="0"/>
        <w:autoSpaceDN w:val="0"/>
        <w:adjustRightInd w:val="0"/>
        <w:spacing w:line="560" w:lineRule="exact"/>
        <w:ind w:firstLine="600" w:firstLineChars="200"/>
        <w:jc w:val="both"/>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9.监督并确保行长及其他高级管理人员有效履行管理职责等；</w:t>
      </w:r>
    </w:p>
    <w:p>
      <w:pPr>
        <w:autoSpaceDE w:val="0"/>
        <w:autoSpaceDN w:val="0"/>
        <w:adjustRightInd w:val="0"/>
        <w:spacing w:line="560" w:lineRule="exact"/>
        <w:ind w:firstLine="600" w:firstLineChars="2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10.定期评估并完善本行的公司治理状况；</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zh-CN"/>
        </w:rPr>
      </w:pPr>
      <w:r>
        <w:rPr>
          <w:rFonts w:hint="eastAsia" w:ascii="仿宋_GB2312" w:eastAsia="仿宋_GB2312" w:cs="仿宋_GB2312"/>
          <w:sz w:val="30"/>
          <w:szCs w:val="30"/>
          <w:highlight w:val="none"/>
          <w:lang w:val="en-US" w:eastAsia="zh-CN"/>
        </w:rPr>
        <w:t>11.聘任和解聘本行董事会专门委员会和高级管理人员</w:t>
      </w:r>
      <w:r>
        <w:rPr>
          <w:rFonts w:hint="eastAsia" w:ascii="仿宋_GB2312" w:eastAsia="仿宋_GB2312" w:cs="仿宋_GB2312"/>
          <w:sz w:val="30"/>
          <w:szCs w:val="30"/>
          <w:highlight w:val="none"/>
          <w:lang w:val="zh-CN"/>
        </w:rPr>
        <w:t>；</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12.管理本行信息披露事项；</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13.审定本行内部管理架构以及重要分支机构及部门的设置。</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14.提请股东大会聘用或者解聘为银行财务报告进行定期法定审计的会计师事务所。</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15.维护金融消费者和其他利益相关者合法权益；</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16.建立银行与股东特别是主要股东之间利益冲突的识别、审查和管理机制；</w:t>
      </w:r>
    </w:p>
    <w:p>
      <w:pPr>
        <w:autoSpaceDE w:val="0"/>
        <w:autoSpaceDN w:val="0"/>
        <w:adjustRightInd w:val="0"/>
        <w:spacing w:line="560" w:lineRule="exact"/>
        <w:ind w:firstLine="600" w:firstLineChars="200"/>
        <w:jc w:val="both"/>
        <w:rPr>
          <w:rFonts w:hint="default"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17.承担股东事务的管理责任；</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zh-CN"/>
        </w:rPr>
      </w:pPr>
      <w:r>
        <w:rPr>
          <w:rFonts w:hint="eastAsia" w:ascii="仿宋_GB2312" w:eastAsia="仿宋_GB2312" w:cs="仿宋_GB2312"/>
          <w:sz w:val="30"/>
          <w:szCs w:val="30"/>
          <w:highlight w:val="none"/>
          <w:lang w:val="en-US" w:eastAsia="zh-CN"/>
        </w:rPr>
        <w:t>18.</w:t>
      </w:r>
      <w:r>
        <w:rPr>
          <w:rFonts w:hint="eastAsia" w:ascii="仿宋_GB2312" w:eastAsia="仿宋_GB2312" w:cs="仿宋_GB2312"/>
          <w:sz w:val="30"/>
          <w:szCs w:val="30"/>
          <w:highlight w:val="none"/>
          <w:lang w:val="zh-CN"/>
        </w:rPr>
        <w:t>审议批准本行的</w:t>
      </w:r>
      <w:r>
        <w:rPr>
          <w:rFonts w:hint="eastAsia" w:ascii="仿宋_GB2312" w:eastAsia="仿宋_GB2312" w:cs="仿宋_GB2312"/>
          <w:sz w:val="30"/>
          <w:szCs w:val="30"/>
          <w:highlight w:val="none"/>
          <w:lang w:val="en-US" w:eastAsia="zh-CN"/>
        </w:rPr>
        <w:t>对外投资、资产购置、资产处置与核销、资产抵押、</w:t>
      </w:r>
      <w:r>
        <w:rPr>
          <w:rFonts w:hint="eastAsia" w:ascii="仿宋_GB2312" w:eastAsia="仿宋_GB2312" w:cs="仿宋_GB2312"/>
          <w:sz w:val="30"/>
          <w:szCs w:val="30"/>
          <w:highlight w:val="none"/>
          <w:lang w:val="zh-CN"/>
        </w:rPr>
        <w:t>关联交易、</w:t>
      </w:r>
      <w:r>
        <w:rPr>
          <w:rFonts w:hint="eastAsia" w:ascii="仿宋_GB2312" w:eastAsia="仿宋_GB2312" w:cs="仿宋_GB2312"/>
          <w:sz w:val="30"/>
          <w:szCs w:val="30"/>
          <w:highlight w:val="none"/>
          <w:lang w:val="en-US" w:eastAsia="zh-CN"/>
        </w:rPr>
        <w:t>数据治理等事项</w:t>
      </w:r>
      <w:r>
        <w:rPr>
          <w:rFonts w:hint="eastAsia" w:ascii="仿宋_GB2312" w:eastAsia="仿宋_GB2312" w:cs="仿宋_GB2312"/>
          <w:sz w:val="30"/>
          <w:szCs w:val="30"/>
          <w:highlight w:val="none"/>
          <w:lang w:val="zh-CN"/>
        </w:rPr>
        <w:t>；</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19.制定公司发展战略并监督战略实施；</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20.负责公司信息披露，并对会计和财务报告的真实性、准确性、完整性和及时性承担最终责任；</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21.定期评估并完善银行公司治理；</w:t>
      </w:r>
    </w:p>
    <w:p>
      <w:pPr>
        <w:autoSpaceDE w:val="0"/>
        <w:autoSpaceDN w:val="0"/>
        <w:adjustRightInd w:val="0"/>
        <w:spacing w:line="560" w:lineRule="exact"/>
        <w:ind w:firstLine="600" w:firstLineChars="200"/>
        <w:jc w:val="both"/>
        <w:rPr>
          <w:rFonts w:hint="default"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22.制订章程修改方案，制订股东大会议事规则、董事会议事规则，审议批准董事会专门委员会工作规则；</w:t>
      </w:r>
    </w:p>
    <w:p>
      <w:pPr>
        <w:autoSpaceDE w:val="0"/>
        <w:autoSpaceDN w:val="0"/>
        <w:adjustRightInd w:val="0"/>
        <w:spacing w:line="560" w:lineRule="exact"/>
        <w:ind w:firstLine="900" w:firstLineChars="3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23.制定本行资本规划，承担资本或偿付能力管理最终责任；</w:t>
      </w:r>
    </w:p>
    <w:p>
      <w:pPr>
        <w:tabs>
          <w:tab w:val="left" w:pos="1989"/>
        </w:tabs>
        <w:spacing w:line="560" w:lineRule="exact"/>
        <w:ind w:firstLine="876" w:firstLineChars="300"/>
        <w:jc w:val="both"/>
        <w:rPr>
          <w:rFonts w:hint="default" w:ascii="仿宋_GB2312" w:eastAsia="仿宋_GB2312" w:cs="仿宋_GB2312"/>
          <w:spacing w:val="-4"/>
          <w:sz w:val="30"/>
          <w:szCs w:val="30"/>
          <w:highlight w:val="none"/>
          <w:lang w:val="en-US" w:eastAsia="zh-CN"/>
        </w:rPr>
      </w:pPr>
      <w:r>
        <w:rPr>
          <w:rFonts w:hint="eastAsia" w:ascii="仿宋_GB2312" w:eastAsia="仿宋_GB2312" w:cs="仿宋_GB2312"/>
          <w:spacing w:val="-4"/>
          <w:sz w:val="30"/>
          <w:szCs w:val="30"/>
          <w:highlight w:val="none"/>
          <w:lang w:val="en-US" w:eastAsia="zh-CN"/>
        </w:rPr>
        <w:t>24.银行应当合理确定各项业务活动和管理活动的风险控制点，采取适当的控制措施，执行标准统一的业务流程和管理流程，确保规范运作。</w:t>
      </w:r>
    </w:p>
    <w:p>
      <w:pPr>
        <w:pStyle w:val="2"/>
        <w:adjustRightInd w:val="0"/>
        <w:snapToGrid w:val="0"/>
        <w:spacing w:line="560" w:lineRule="exact"/>
        <w:ind w:firstLine="900" w:firstLineChars="300"/>
        <w:jc w:val="both"/>
        <w:rPr>
          <w:rFonts w:hint="default" w:ascii="Times New Roman" w:hAnsi="Times New Roman" w:eastAsia="仿宋_GB2312" w:cs="Times New Roman"/>
          <w:sz w:val="30"/>
          <w:szCs w:val="30"/>
          <w:highlight w:val="none"/>
          <w:lang w:val="zh-CN"/>
        </w:rPr>
      </w:pPr>
      <w:r>
        <w:rPr>
          <w:rFonts w:hint="eastAsia" w:ascii="仿宋_GB2312" w:eastAsia="仿宋_GB2312" w:cs="仿宋_GB2312"/>
          <w:sz w:val="30"/>
          <w:szCs w:val="30"/>
          <w:highlight w:val="none"/>
          <w:lang w:val="en-US" w:eastAsia="zh-CN"/>
        </w:rPr>
        <w:t>25.</w:t>
      </w:r>
      <w:r>
        <w:rPr>
          <w:rFonts w:hint="eastAsia" w:ascii="仿宋_GB2312" w:eastAsia="仿宋_GB2312" w:cs="仿宋_GB2312"/>
          <w:sz w:val="30"/>
          <w:szCs w:val="30"/>
          <w:highlight w:val="none"/>
          <w:lang w:val="zh-CN"/>
        </w:rPr>
        <w:t>法律、法规、本行章程规定和股东授予的其它权利。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zh-CN"/>
        </w:rPr>
        <w:t>（</w:t>
      </w:r>
      <w:r>
        <w:rPr>
          <w:rFonts w:hint="eastAsia" w:ascii="Times New Roman" w:hAnsi="Times New Roman" w:eastAsia="仿宋_GB2312" w:cs="Times New Roman"/>
          <w:color w:val="auto"/>
          <w:sz w:val="30"/>
          <w:szCs w:val="30"/>
          <w:highlight w:val="none"/>
          <w:lang w:val="en-US" w:eastAsia="zh-CN"/>
        </w:rPr>
        <w:t>五</w:t>
      </w:r>
      <w:r>
        <w:rPr>
          <w:rFonts w:hint="default" w:ascii="Times New Roman" w:hAnsi="Times New Roman" w:eastAsia="仿宋_GB2312" w:cs="Times New Roman"/>
          <w:color w:val="auto"/>
          <w:sz w:val="30"/>
          <w:szCs w:val="30"/>
          <w:highlight w:val="none"/>
          <w:lang w:val="zh-CN"/>
        </w:rPr>
        <w:t>）</w:t>
      </w:r>
      <w:r>
        <w:rPr>
          <w:rFonts w:hint="default" w:ascii="Times New Roman" w:hAnsi="Times New Roman" w:eastAsia="仿宋_GB2312" w:cs="Times New Roman"/>
          <w:b/>
          <w:color w:val="auto"/>
          <w:sz w:val="30"/>
          <w:szCs w:val="30"/>
          <w:highlight w:val="none"/>
          <w:lang w:val="en-US" w:eastAsia="zh-CN"/>
        </w:rPr>
        <w:t>202</w:t>
      </w:r>
      <w:r>
        <w:rPr>
          <w:rFonts w:hint="eastAsia" w:eastAsia="仿宋_GB2312" w:cs="Times New Roman"/>
          <w:b/>
          <w:color w:val="auto"/>
          <w:sz w:val="30"/>
          <w:szCs w:val="30"/>
          <w:highlight w:val="none"/>
          <w:lang w:val="en-US" w:eastAsia="zh-CN"/>
        </w:rPr>
        <w:t>5</w:t>
      </w:r>
      <w:r>
        <w:rPr>
          <w:rFonts w:hint="default" w:ascii="Times New Roman" w:hAnsi="Times New Roman" w:eastAsia="仿宋_GB2312" w:cs="Times New Roman"/>
          <w:b/>
          <w:color w:val="auto"/>
          <w:sz w:val="30"/>
          <w:szCs w:val="30"/>
          <w:highlight w:val="none"/>
          <w:lang w:val="en-US" w:eastAsia="zh-CN"/>
        </w:rPr>
        <w:t>年召开董事会情况</w:t>
      </w:r>
      <w:r>
        <w:rPr>
          <w:rFonts w:hint="default" w:ascii="Times New Roman" w:hAnsi="Times New Roman" w:eastAsia="仿宋_GB2312" w:cs="Times New Roman"/>
          <w:color w:val="auto"/>
          <w:kern w:val="0"/>
          <w:sz w:val="30"/>
          <w:szCs w:val="30"/>
          <w:highlight w:val="none"/>
          <w:lang w:val="en-US" w:eastAsia="zh-CN"/>
        </w:rPr>
        <w:t>：202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年我行共召开</w:t>
      </w:r>
      <w:r>
        <w:rPr>
          <w:rFonts w:hint="eastAsia"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lang w:val="en-US" w:eastAsia="zh-CN"/>
        </w:rPr>
        <w:t>次董事会</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次临时董事会，分别为</w:t>
      </w:r>
      <w:r>
        <w:rPr>
          <w:rFonts w:hint="eastAsia" w:eastAsia="仿宋_GB2312" w:cs="Times New Roman"/>
          <w:color w:val="auto"/>
          <w:kern w:val="0"/>
          <w:sz w:val="30"/>
          <w:szCs w:val="30"/>
          <w:highlight w:val="none"/>
          <w:lang w:val="en-US" w:eastAsia="zh-CN"/>
        </w:rPr>
        <w:t>2025年1月23日召开</w:t>
      </w:r>
      <w:r>
        <w:rPr>
          <w:rFonts w:hint="default" w:ascii="Times New Roman" w:hAnsi="Times New Roman" w:eastAsia="仿宋_GB2312" w:cs="Times New Roman"/>
          <w:color w:val="auto"/>
          <w:kern w:val="0"/>
          <w:sz w:val="30"/>
          <w:szCs w:val="30"/>
          <w:highlight w:val="none"/>
          <w:lang w:val="en-US" w:eastAsia="zh-CN"/>
        </w:rPr>
        <w:t>第二届董事会第十四次临时会议</w:t>
      </w:r>
      <w:r>
        <w:rPr>
          <w:rFonts w:hint="eastAsia" w:eastAsia="仿宋_GB2312" w:cs="Times New Roman"/>
          <w:color w:val="auto"/>
          <w:kern w:val="0"/>
          <w:sz w:val="30"/>
          <w:szCs w:val="30"/>
          <w:highlight w:val="none"/>
          <w:lang w:val="en-US" w:eastAsia="zh-CN"/>
        </w:rPr>
        <w:t>，2025年3月26日召开的重庆北碚稠州村镇银行</w:t>
      </w:r>
      <w:r>
        <w:rPr>
          <w:rFonts w:hint="default" w:ascii="Times New Roman" w:hAnsi="Times New Roman" w:eastAsia="仿宋_GB2312" w:cs="Times New Roman"/>
          <w:color w:val="auto"/>
          <w:kern w:val="0"/>
          <w:sz w:val="30"/>
          <w:szCs w:val="30"/>
          <w:highlight w:val="none"/>
          <w:lang w:val="en-US" w:eastAsia="zh-CN"/>
        </w:rPr>
        <w:t>第二届董事会第十五次会议</w:t>
      </w:r>
      <w:r>
        <w:rPr>
          <w:rFonts w:hint="default" w:ascii="Times New Roman" w:hAnsi="Times New Roman"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2025年4月8日召开的</w:t>
      </w:r>
      <w:r>
        <w:rPr>
          <w:rFonts w:hint="default" w:ascii="Times New Roman" w:hAnsi="Times New Roman" w:eastAsia="仿宋_GB2312" w:cs="Times New Roman"/>
          <w:color w:val="auto"/>
          <w:kern w:val="0"/>
          <w:sz w:val="30"/>
          <w:szCs w:val="30"/>
          <w:highlight w:val="none"/>
          <w:lang w:val="en-US" w:eastAsia="zh-CN"/>
        </w:rPr>
        <w:t>第二届临时董事会第十六次会议，</w:t>
      </w:r>
      <w:r>
        <w:rPr>
          <w:rFonts w:hint="eastAsia" w:eastAsia="仿宋_GB2312" w:cs="Times New Roman"/>
          <w:color w:val="auto"/>
          <w:kern w:val="0"/>
          <w:sz w:val="30"/>
          <w:szCs w:val="30"/>
          <w:highlight w:val="none"/>
          <w:lang w:val="en-US" w:eastAsia="zh-CN"/>
        </w:rPr>
        <w:t>2025年6月4日召开的</w:t>
      </w:r>
      <w:r>
        <w:rPr>
          <w:rFonts w:hint="default" w:ascii="Times New Roman" w:hAnsi="Times New Roman" w:eastAsia="仿宋_GB2312" w:cs="Times New Roman"/>
          <w:color w:val="auto"/>
          <w:kern w:val="0"/>
          <w:sz w:val="30"/>
          <w:szCs w:val="30"/>
          <w:highlight w:val="none"/>
          <w:lang w:val="en-US" w:eastAsia="zh-CN"/>
        </w:rPr>
        <w:t>第二届董事会第十七次会议，</w:t>
      </w:r>
      <w:r>
        <w:rPr>
          <w:rFonts w:hint="eastAsia" w:eastAsia="仿宋_GB2312" w:cs="Times New Roman"/>
          <w:color w:val="auto"/>
          <w:kern w:val="0"/>
          <w:sz w:val="30"/>
          <w:szCs w:val="30"/>
          <w:highlight w:val="none"/>
          <w:lang w:val="en-US" w:eastAsia="zh-CN"/>
        </w:rPr>
        <w:t>2025年6月12日召开的</w:t>
      </w:r>
      <w:r>
        <w:rPr>
          <w:rFonts w:hint="default" w:ascii="Times New Roman" w:hAnsi="Times New Roman" w:eastAsia="仿宋_GB2312" w:cs="Times New Roman"/>
          <w:color w:val="auto"/>
          <w:kern w:val="0"/>
          <w:sz w:val="30"/>
          <w:szCs w:val="30"/>
          <w:highlight w:val="none"/>
          <w:lang w:val="en-US" w:eastAsia="zh-CN"/>
        </w:rPr>
        <w:t>第二届临时董事会第十八次会议</w:t>
      </w:r>
      <w:r>
        <w:rPr>
          <w:rFonts w:hint="default" w:ascii="Times New Roman" w:hAnsi="Times New Roman"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2025年8月29日召开的</w:t>
      </w:r>
      <w:r>
        <w:rPr>
          <w:rFonts w:hint="default" w:ascii="Times New Roman" w:hAnsi="Times New Roman" w:eastAsia="仿宋_GB2312" w:cs="Times New Roman"/>
          <w:color w:val="auto"/>
          <w:kern w:val="0"/>
          <w:sz w:val="30"/>
          <w:szCs w:val="30"/>
          <w:highlight w:val="none"/>
          <w:lang w:eastAsia="zh-CN"/>
        </w:rPr>
        <w:t>第二届临时董事会第十九次会议</w:t>
      </w:r>
      <w:r>
        <w:rPr>
          <w:rFonts w:hint="eastAsia"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2025年11月28日召开</w:t>
      </w:r>
      <w:r>
        <w:rPr>
          <w:rFonts w:hint="eastAsia" w:eastAsia="仿宋_GB2312" w:cs="Times New Roman"/>
          <w:color w:val="auto"/>
          <w:kern w:val="0"/>
          <w:sz w:val="30"/>
          <w:szCs w:val="30"/>
          <w:highlight w:val="none"/>
          <w:lang w:eastAsia="zh-CN"/>
        </w:rPr>
        <w:t>第二届董事会第二十次会议，</w:t>
      </w:r>
      <w:r>
        <w:rPr>
          <w:rFonts w:hint="eastAsia" w:eastAsia="仿宋_GB2312" w:cs="Times New Roman"/>
          <w:color w:val="auto"/>
          <w:kern w:val="0"/>
          <w:sz w:val="30"/>
          <w:szCs w:val="30"/>
          <w:highlight w:val="none"/>
          <w:lang w:val="en-US" w:eastAsia="zh-CN"/>
        </w:rPr>
        <w:t>2025年11月14日召开</w:t>
      </w:r>
      <w:r>
        <w:rPr>
          <w:rFonts w:hint="eastAsia" w:eastAsia="仿宋_GB2312" w:cs="Times New Roman"/>
          <w:color w:val="auto"/>
          <w:kern w:val="0"/>
          <w:sz w:val="30"/>
          <w:szCs w:val="30"/>
          <w:highlight w:val="none"/>
          <w:lang w:eastAsia="zh-CN"/>
        </w:rPr>
        <w:t>第二届临时董事会第二十一次会议，</w:t>
      </w:r>
      <w:r>
        <w:rPr>
          <w:rFonts w:hint="eastAsia" w:eastAsia="仿宋_GB2312" w:cs="Times New Roman"/>
          <w:color w:val="auto"/>
          <w:kern w:val="0"/>
          <w:sz w:val="30"/>
          <w:szCs w:val="30"/>
          <w:highlight w:val="none"/>
          <w:lang w:val="en-US" w:eastAsia="zh-CN"/>
        </w:rPr>
        <w:t>2025年12月22日</w:t>
      </w:r>
      <w:r>
        <w:rPr>
          <w:rFonts w:hint="eastAsia" w:eastAsia="仿宋_GB2312" w:cs="Times New Roman"/>
          <w:color w:val="auto"/>
          <w:kern w:val="0"/>
          <w:sz w:val="30"/>
          <w:szCs w:val="30"/>
          <w:highlight w:val="none"/>
          <w:lang w:eastAsia="zh-CN"/>
        </w:rPr>
        <w:t>第三届第一次会议。</w:t>
      </w:r>
      <w:r>
        <w:rPr>
          <w:rFonts w:hint="default" w:ascii="Times New Roman" w:hAnsi="Times New Roman" w:eastAsia="仿宋_GB2312" w:cs="Times New Roman"/>
          <w:color w:val="auto"/>
          <w:kern w:val="0"/>
          <w:sz w:val="30"/>
          <w:szCs w:val="30"/>
          <w:highlight w:val="none"/>
          <w:lang w:val="en-US" w:eastAsia="zh-CN"/>
        </w:rPr>
        <w:t>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年的董事会均为全部董事出席。</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六</w:t>
      </w:r>
      <w:r>
        <w:rPr>
          <w:rFonts w:hint="default" w:ascii="Times New Roman" w:hAnsi="Times New Roman" w:eastAsia="仿宋_GB2312" w:cs="Times New Roman"/>
          <w:color w:val="auto"/>
          <w:sz w:val="30"/>
          <w:szCs w:val="30"/>
          <w:highlight w:val="none"/>
        </w:rPr>
        <w:t>）关于董事、董事会及其专门委员会</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截至报告期末，公司董事会由</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名董事组成，其中股东董事</w:t>
      </w:r>
      <w:r>
        <w:rPr>
          <w:rFonts w:hint="eastAsia"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名，</w:t>
      </w:r>
      <w:r>
        <w:rPr>
          <w:rFonts w:hint="eastAsia" w:eastAsia="仿宋_GB2312" w:cs="Times New Roman"/>
          <w:color w:val="auto"/>
          <w:sz w:val="30"/>
          <w:szCs w:val="30"/>
          <w:highlight w:val="none"/>
          <w:lang w:val="en-US" w:eastAsia="zh-CN"/>
        </w:rPr>
        <w:t>外部</w:t>
      </w:r>
      <w:r>
        <w:rPr>
          <w:rFonts w:hint="default" w:ascii="Times New Roman" w:hAnsi="Times New Roman" w:eastAsia="仿宋_GB2312" w:cs="Times New Roman"/>
          <w:color w:val="auto"/>
          <w:sz w:val="30"/>
          <w:szCs w:val="30"/>
          <w:highlight w:val="none"/>
        </w:rPr>
        <w:t>董事</w:t>
      </w: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名。符合监管规定要求。公司的董事均拥有丰富的管理经验和经济金融领域的工作经历。合理的董事结构、丰富的从业经验、多元化的专业背景保持了董事会应有的独立性，也提升了董事会的科学决策能力。</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报告期内，公司共召开例行董事会会议</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次，临时董事会</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次，审议、讨论通过决议</w:t>
      </w:r>
      <w:r>
        <w:rPr>
          <w:rFonts w:hint="eastAsia" w:eastAsia="仿宋_GB2312" w:cs="Times New Roman"/>
          <w:color w:val="auto"/>
          <w:sz w:val="30"/>
          <w:szCs w:val="30"/>
          <w:highlight w:val="none"/>
          <w:lang w:val="en-US" w:eastAsia="zh-CN"/>
        </w:rPr>
        <w:t>60</w:t>
      </w:r>
      <w:r>
        <w:rPr>
          <w:rFonts w:hint="default" w:ascii="Times New Roman" w:hAnsi="Times New Roman" w:eastAsia="仿宋_GB2312" w:cs="Times New Roman"/>
          <w:color w:val="auto"/>
          <w:kern w:val="0"/>
          <w:sz w:val="30"/>
          <w:szCs w:val="30"/>
          <w:highlight w:val="none"/>
        </w:rPr>
        <w:t>项。除认真审议定期报告、财务预算、利润分配等常规事项外，董事会对公司战略管理、薪酬绩效考核、风险管理等方面给予了高度关注，充分发挥了董事会的指导决策职能</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kern w:val="0"/>
          <w:sz w:val="30"/>
          <w:szCs w:val="30"/>
          <w:highlight w:val="none"/>
        </w:rPr>
        <w:t>报告期内，各位董事能够积极参加监管部门和本公司组织会谈，展现了高度的责任心和良好的专业素养，切实维护了本公司和体股东的合法权益。</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rPr>
        <w:t xml:space="preserve"> 本</w:t>
      </w:r>
      <w:r>
        <w:rPr>
          <w:rFonts w:hint="default" w:ascii="Times New Roman" w:hAnsi="Times New Roman" w:eastAsia="仿宋_GB2312" w:cs="Times New Roman"/>
          <w:color w:val="auto"/>
          <w:sz w:val="30"/>
          <w:szCs w:val="30"/>
          <w:highlight w:val="none"/>
        </w:rPr>
        <w:t>公司董事会下设风险管理与关联交易控制委员会、薪酬与考核委员会、审计委员会、“三农”与小微企业金融服务委员会</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消费者保护委员会</w:t>
      </w:r>
      <w:r>
        <w:rPr>
          <w:rFonts w:hint="eastAsia" w:eastAsia="仿宋_GB2312" w:cs="Times New Roman"/>
          <w:color w:val="auto"/>
          <w:sz w:val="30"/>
          <w:szCs w:val="30"/>
          <w:highlight w:val="none"/>
          <w:lang w:val="en-US" w:eastAsia="zh-CN"/>
        </w:rPr>
        <w:t>、信息科技管理委员会</w:t>
      </w:r>
      <w:r>
        <w:rPr>
          <w:rFonts w:hint="default" w:ascii="Times New Roman" w:hAnsi="Times New Roman" w:eastAsia="仿宋_GB2312" w:cs="Times New Roman"/>
          <w:color w:val="auto"/>
          <w:sz w:val="30"/>
          <w:szCs w:val="30"/>
          <w:highlight w:val="none"/>
        </w:rPr>
        <w:t>。董事会各专门委员会认真履行职责，针对董事会决策事项提出专业意见，对于提高管理水平，加强风险控制，改善治理结构，保护投资者合法权益起到了积极作用。</w:t>
      </w:r>
    </w:p>
    <w:p>
      <w:pPr>
        <w:pStyle w:val="3"/>
        <w:keepNext w:val="0"/>
        <w:keepLines w:val="0"/>
        <w:pageBreakBefore w:val="0"/>
        <w:numPr>
          <w:ilvl w:val="0"/>
          <w:numId w:val="0"/>
        </w:numPr>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（七）</w:t>
      </w:r>
      <w:r>
        <w:rPr>
          <w:rFonts w:hint="default" w:ascii="Times New Roman" w:hAnsi="Times New Roman" w:eastAsia="仿宋_GB2312" w:cs="Times New Roman"/>
          <w:color w:val="auto"/>
          <w:sz w:val="30"/>
          <w:szCs w:val="30"/>
          <w:highlight w:val="none"/>
          <w:lang w:val="en-US" w:eastAsia="zh-CN"/>
        </w:rPr>
        <w:t>监事会职责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lang w:val="zh-CN"/>
        </w:rPr>
        <w:t>监督董事会、高级管理层履行职责情况；</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zh-CN"/>
        </w:rPr>
        <w:t>要求董事、董事长及高级管理人员纠正其损害本行利益的行为；对违反法律、行政法规、本行章程的董事、高级管理人员提出罢免的建议；</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zh-CN"/>
        </w:rPr>
        <w:t>检查监督本行的财务管理和活动；</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zh-CN"/>
        </w:rPr>
        <w:t>对董事、董事长及高级管理人员进行质询；</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lang w:val="zh-CN"/>
        </w:rPr>
        <w:t>依照公司法第一百五十一条的规定，对董事、高级管理人员提起诉讼。</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zh-CN"/>
        </w:rPr>
        <w:t>法律法规、行政规章及本章程规定应当由监事会行使的职权。</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八</w:t>
      </w:r>
      <w:r>
        <w:rPr>
          <w:rFonts w:hint="default" w:ascii="Times New Roman" w:hAnsi="Times New Roman" w:eastAsia="仿宋_GB2312" w:cs="Times New Roman"/>
          <w:color w:val="auto"/>
          <w:sz w:val="30"/>
          <w:szCs w:val="30"/>
          <w:highlight w:val="none"/>
        </w:rPr>
        <w:t>）关于监事、监事会及其专门委员会</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eastAsia" w:eastAsia="仿宋_GB2312" w:cs="Times New Roman"/>
          <w:color w:val="auto"/>
          <w:sz w:val="30"/>
          <w:szCs w:val="30"/>
          <w:highlight w:val="none"/>
          <w:lang w:val="en-US" w:eastAsia="zh-CN"/>
        </w:rPr>
        <w:t>2025年11月前</w:t>
      </w:r>
      <w:r>
        <w:rPr>
          <w:rFonts w:hint="default" w:ascii="Times New Roman" w:hAnsi="Times New Roman" w:eastAsia="仿宋_GB2312" w:cs="Times New Roman"/>
          <w:color w:val="auto"/>
          <w:sz w:val="30"/>
          <w:szCs w:val="30"/>
          <w:highlight w:val="none"/>
        </w:rPr>
        <w:t>，公司监事会成员3名，其中职工监事</w:t>
      </w:r>
      <w:r>
        <w:rPr>
          <w:rFonts w:hint="default"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名，股东监事1名</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公司监事会的人数和人员构成均符合法律法规和《公司章程》的规定。</w:t>
      </w:r>
    </w:p>
    <w:p>
      <w:pPr>
        <w:keepNext w:val="0"/>
        <w:keepLines w:val="0"/>
        <w:pageBreakBefore w:val="0"/>
        <w:kinsoku/>
        <w:wordWrap/>
        <w:overflowPunct/>
        <w:topLinePunct w:val="0"/>
        <w:bidi w:val="0"/>
        <w:snapToGrid/>
        <w:spacing w:line="560" w:lineRule="exact"/>
        <w:ind w:firstLine="600" w:firstLineChars="200"/>
        <w:jc w:val="both"/>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rPr>
        <w:t>报告期内，本公司共召开监事会会议</w:t>
      </w:r>
      <w:r>
        <w:rPr>
          <w:rFonts w:hint="eastAsia" w:eastAsia="仿宋_GB2312" w:cs="Times New Roman"/>
          <w:bCs/>
          <w:color w:val="auto"/>
          <w:sz w:val="30"/>
          <w:szCs w:val="30"/>
          <w:highlight w:val="none"/>
          <w:lang w:val="en-US" w:eastAsia="zh-CN"/>
        </w:rPr>
        <w:t>4</w:t>
      </w:r>
      <w:r>
        <w:rPr>
          <w:rFonts w:hint="default" w:ascii="Times New Roman" w:hAnsi="Times New Roman" w:eastAsia="仿宋_GB2312" w:cs="Times New Roman"/>
          <w:bCs/>
          <w:color w:val="auto"/>
          <w:sz w:val="30"/>
          <w:szCs w:val="30"/>
          <w:highlight w:val="none"/>
        </w:rPr>
        <w:t>次。会议审议通过</w:t>
      </w:r>
      <w:r>
        <w:rPr>
          <w:rFonts w:hint="default" w:ascii="Times New Roman" w:hAnsi="Times New Roman" w:eastAsia="仿宋_GB2312" w:cs="Times New Roman"/>
          <w:color w:val="auto"/>
          <w:sz w:val="30"/>
          <w:szCs w:val="30"/>
          <w:highlight w:val="none"/>
        </w:rPr>
        <w:t>了包括监事会工作报告、财务报告、内控评价报告等</w:t>
      </w:r>
      <w:r>
        <w:rPr>
          <w:rFonts w:hint="eastAsia" w:eastAsia="仿宋_GB2312" w:cs="Times New Roman"/>
          <w:color w:val="auto"/>
          <w:sz w:val="30"/>
          <w:szCs w:val="30"/>
          <w:highlight w:val="none"/>
          <w:lang w:val="en-US" w:eastAsia="zh-CN"/>
        </w:rPr>
        <w:t>38</w:t>
      </w:r>
      <w:r>
        <w:rPr>
          <w:rFonts w:hint="default" w:ascii="Times New Roman" w:hAnsi="Times New Roman" w:eastAsia="仿宋_GB2312" w:cs="Times New Roman"/>
          <w:color w:val="auto"/>
          <w:sz w:val="30"/>
          <w:szCs w:val="30"/>
          <w:highlight w:val="none"/>
        </w:rPr>
        <w:t>项议案。</w:t>
      </w:r>
      <w:r>
        <w:rPr>
          <w:rFonts w:hint="eastAsia" w:ascii="Times New Roman" w:hAnsi="Times New Roman" w:eastAsia="仿宋_GB2312" w:cs="Times New Roman"/>
          <w:color w:val="auto"/>
          <w:sz w:val="30"/>
          <w:szCs w:val="30"/>
          <w:highlight w:val="none"/>
          <w:lang w:val="en-US" w:eastAsia="zh-CN"/>
        </w:rPr>
        <w:t xml:space="preserve">   </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报告期内，各位监事勤勉尽职，通过列席董事会会议、审阅公司上报的文件、听取管理层的工作报告等多种方式，对本公司的经营情况、财务活动、风险管理与控制、董事会执行股东决议情况进行有效监督，并积极发表意见，切实履行了《公司章程》赋予的监督职责，促进了本公司的稳健发展。</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2025年11月28日，召开第二届董事会第二十次会议审议同意《关于不再设立监事会，解聘现任监事》的议案并通过股东决定同意，我行取消监事会。</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九</w:t>
      </w:r>
      <w:r>
        <w:rPr>
          <w:rFonts w:hint="default" w:ascii="Times New Roman" w:hAnsi="Times New Roman" w:eastAsia="仿宋_GB2312" w:cs="Times New Roman"/>
          <w:color w:val="auto"/>
          <w:sz w:val="30"/>
          <w:szCs w:val="30"/>
          <w:highlight w:val="none"/>
        </w:rPr>
        <w:t>）关于高级管理层</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本公司高级管理层对董事会负责，接受监事会监督，依照法律法规、公司章程及董事会的授权，组织开展经营管理活动。本</w:t>
      </w:r>
      <w:r>
        <w:rPr>
          <w:rFonts w:hint="default" w:ascii="Times New Roman" w:hAnsi="Times New Roman" w:eastAsia="仿宋_GB2312" w:cs="Times New Roman"/>
          <w:color w:val="auto"/>
          <w:kern w:val="0"/>
          <w:sz w:val="30"/>
          <w:szCs w:val="30"/>
          <w:highlight w:val="none"/>
        </w:rPr>
        <w:t>公司的高级管理层人员结构合理、职责分工明确，</w:t>
      </w:r>
      <w:r>
        <w:rPr>
          <w:rFonts w:hint="default" w:ascii="Times New Roman" w:hAnsi="Times New Roman" w:eastAsia="仿宋_GB2312" w:cs="Times New Roman"/>
          <w:color w:val="auto"/>
          <w:sz w:val="30"/>
          <w:szCs w:val="30"/>
          <w:highlight w:val="none"/>
        </w:rPr>
        <w:t>行长对日常经营管理工作全面负责，</w:t>
      </w:r>
      <w:r>
        <w:rPr>
          <w:rFonts w:hint="eastAsia" w:eastAsia="仿宋_GB2312" w:cs="Times New Roman"/>
          <w:color w:val="auto"/>
          <w:sz w:val="30"/>
          <w:szCs w:val="30"/>
          <w:highlight w:val="none"/>
          <w:lang w:val="en-US" w:eastAsia="zh-CN"/>
        </w:rPr>
        <w:t>副行长</w:t>
      </w:r>
      <w:r>
        <w:rPr>
          <w:rFonts w:hint="default" w:ascii="Times New Roman" w:hAnsi="Times New Roman" w:eastAsia="仿宋_GB2312" w:cs="Times New Roman"/>
          <w:color w:val="auto"/>
          <w:kern w:val="0"/>
          <w:sz w:val="30"/>
          <w:szCs w:val="30"/>
          <w:highlight w:val="none"/>
        </w:rPr>
        <w:t>协助行长开展工作。</w:t>
      </w:r>
      <w:r>
        <w:rPr>
          <w:rFonts w:hint="default" w:ascii="Times New Roman" w:hAnsi="Times New Roman" w:eastAsia="仿宋_GB2312" w:cs="Times New Roman"/>
          <w:color w:val="auto"/>
          <w:sz w:val="30"/>
          <w:szCs w:val="30"/>
          <w:highlight w:val="none"/>
        </w:rPr>
        <w:t>公司的高级管理人员均具备较强的管理能力、市场应变能力和创新能力，由董事会聘任，并经监管部门依法核准。报告期内，本公司高级管理层在董事会的领导下，坚持“低成本、低消耗、轻模式”战略，加强对全行经营发展的统筹安排，持续提高精细化管理水平，不断提升资源配置效率，促进了各项业务的稳健发展。</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十</w:t>
      </w:r>
      <w:r>
        <w:rPr>
          <w:rFonts w:hint="default" w:ascii="Times New Roman" w:hAnsi="Times New Roman" w:eastAsia="仿宋_GB2312" w:cs="Times New Roman"/>
          <w:color w:val="auto"/>
          <w:sz w:val="30"/>
          <w:szCs w:val="30"/>
          <w:highlight w:val="none"/>
        </w:rPr>
        <w:t>）关于信息披露与投资者关系管理</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报告期内，公司董事会按照银行业监督管理机构对商业银行信息披露的有关要求，编制了《202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rPr>
        <w:t>年度</w:t>
      </w:r>
      <w:r>
        <w:rPr>
          <w:rFonts w:hint="default" w:ascii="Times New Roman" w:hAnsi="Times New Roman" w:eastAsia="仿宋_GB2312" w:cs="Times New Roman"/>
          <w:color w:val="auto"/>
          <w:kern w:val="0"/>
          <w:sz w:val="30"/>
          <w:szCs w:val="30"/>
          <w:highlight w:val="none"/>
          <w:lang w:val="en-US" w:eastAsia="zh-CN"/>
        </w:rPr>
        <w:t>信息披露</w:t>
      </w:r>
      <w:r>
        <w:rPr>
          <w:rFonts w:hint="default" w:ascii="Times New Roman" w:hAnsi="Times New Roman" w:eastAsia="仿宋_GB2312" w:cs="Times New Roman"/>
          <w:color w:val="auto"/>
          <w:kern w:val="0"/>
          <w:sz w:val="30"/>
          <w:szCs w:val="30"/>
          <w:highlight w:val="none"/>
        </w:rPr>
        <w:t>报告》及摘要，</w:t>
      </w:r>
      <w:r>
        <w:rPr>
          <w:rFonts w:hint="default" w:ascii="Times New Roman" w:hAnsi="Times New Roman" w:eastAsia="仿宋_GB2312" w:cs="Times New Roman"/>
          <w:color w:val="auto"/>
          <w:kern w:val="0"/>
          <w:sz w:val="30"/>
          <w:szCs w:val="30"/>
          <w:highlight w:val="none"/>
          <w:lang w:val="en-US" w:eastAsia="zh-CN"/>
        </w:rPr>
        <w:t>将</w:t>
      </w:r>
      <w:r>
        <w:rPr>
          <w:rFonts w:hint="default" w:ascii="Times New Roman" w:hAnsi="Times New Roman" w:eastAsia="仿宋_GB2312" w:cs="Times New Roman"/>
          <w:color w:val="auto"/>
          <w:kern w:val="0"/>
          <w:sz w:val="30"/>
          <w:szCs w:val="30"/>
          <w:highlight w:val="none"/>
        </w:rPr>
        <w:t>于202</w:t>
      </w:r>
      <w:r>
        <w:rPr>
          <w:rFonts w:hint="eastAsia" w:eastAsia="仿宋_GB2312" w:cs="Times New Roman"/>
          <w:color w:val="auto"/>
          <w:kern w:val="0"/>
          <w:sz w:val="30"/>
          <w:szCs w:val="30"/>
          <w:highlight w:val="none"/>
          <w:lang w:val="en-US" w:eastAsia="zh-CN"/>
        </w:rPr>
        <w:t>6</w:t>
      </w:r>
      <w:r>
        <w:rPr>
          <w:rFonts w:hint="default" w:ascii="Times New Roman" w:hAnsi="Times New Roman" w:eastAsia="仿宋_GB2312" w:cs="Times New Roman"/>
          <w:color w:val="auto"/>
          <w:kern w:val="0"/>
          <w:sz w:val="30"/>
          <w:szCs w:val="30"/>
          <w:highlight w:val="none"/>
        </w:rPr>
        <w:t>年</w:t>
      </w:r>
      <w:r>
        <w:rPr>
          <w:rFonts w:hint="default" w:ascii="Times New Roman" w:hAnsi="Times New Roman"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rPr>
        <w:t>月</w:t>
      </w:r>
      <w:r>
        <w:rPr>
          <w:rFonts w:hint="default" w:ascii="Times New Roman" w:hAnsi="Times New Roman" w:eastAsia="仿宋_GB2312" w:cs="Times New Roman"/>
          <w:color w:val="auto"/>
          <w:kern w:val="0"/>
          <w:sz w:val="30"/>
          <w:szCs w:val="30"/>
          <w:highlight w:val="none"/>
          <w:lang w:val="en-US" w:eastAsia="zh-CN"/>
        </w:rPr>
        <w:t>会在</w:t>
      </w:r>
      <w:r>
        <w:rPr>
          <w:rFonts w:hint="default" w:ascii="Times New Roman" w:hAnsi="Times New Roman" w:eastAsia="仿宋_GB2312" w:cs="Times New Roman"/>
          <w:color w:val="auto"/>
          <w:kern w:val="0"/>
          <w:sz w:val="30"/>
          <w:szCs w:val="30"/>
          <w:highlight w:val="none"/>
        </w:rPr>
        <w:t>公司门户网站上予以发布。同时在董事会办公室备置，供投资者及利益相关人查阅，做到了信息披露的准确、真实和完整，确保股东有机会获得信息。</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在投资者关系管理上，本公司一直致力于搭建良好的投资者交流沟通平台，增强与投资者交流互动的质量。报告期内，本公司通过门户网站、报刊等媒介主动向投资者展示良好的形象，进一步增进投资者对公司的了解。同时，本公司还及时、全面地向投资者披露公司财务、年度报告等信息，并通过接待来访、电话专线、电子邮箱、传真和书面信件等方式积极服务股东，及时解答股东关心的问题。</w:t>
      </w:r>
    </w:p>
    <w:p>
      <w:pPr>
        <w:keepNext w:val="0"/>
        <w:keepLines w:val="0"/>
        <w:pageBreakBefore w:val="0"/>
        <w:kinsoku/>
        <w:wordWrap/>
        <w:overflowPunct/>
        <w:topLinePunct w:val="0"/>
        <w:autoSpaceDE w:val="0"/>
        <w:autoSpaceDN w:val="0"/>
        <w:bidi w:val="0"/>
        <w:adjustRightInd w:val="0"/>
        <w:snapToGrid/>
        <w:spacing w:line="560" w:lineRule="exact"/>
        <w:ind w:firstLine="602"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 xml:space="preserve">7.2 </w:t>
      </w:r>
      <w:r>
        <w:rPr>
          <w:rFonts w:hint="default" w:ascii="Times New Roman" w:hAnsi="Times New Roman" w:eastAsia="仿宋_GB2312" w:cs="Times New Roman"/>
          <w:color w:val="auto"/>
          <w:kern w:val="0"/>
          <w:sz w:val="30"/>
          <w:szCs w:val="30"/>
          <w:highlight w:val="none"/>
        </w:rPr>
        <w:t xml:space="preserve"> </w:t>
      </w:r>
      <w:r>
        <w:rPr>
          <w:rFonts w:hint="default" w:ascii="Times New Roman" w:hAnsi="Times New Roman" w:eastAsia="仿宋_GB2312" w:cs="Times New Roman"/>
          <w:b/>
          <w:color w:val="auto"/>
          <w:sz w:val="30"/>
          <w:szCs w:val="30"/>
          <w:highlight w:val="none"/>
        </w:rPr>
        <w:t>经营决策体系</w:t>
      </w:r>
    </w:p>
    <w:p>
      <w:pPr>
        <w:keepNext w:val="0"/>
        <w:keepLines w:val="0"/>
        <w:pageBreakBefore w:val="0"/>
        <w:kinsoku/>
        <w:wordWrap/>
        <w:overflowPunct/>
        <w:topLinePunct w:val="0"/>
        <w:bidi w:val="0"/>
        <w:snapToGrid/>
        <w:spacing w:line="560" w:lineRule="exact"/>
        <w:ind w:firstLine="588" w:firstLineChars="196"/>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sz w:val="30"/>
          <w:szCs w:val="30"/>
          <w:highlight w:val="none"/>
          <w:lang w:val="en-US" w:eastAsia="zh-CN"/>
        </w:rPr>
        <w:t>我行只有一个股东为我行发起行浙江稠州商业银行</w:t>
      </w:r>
      <w:r>
        <w:rPr>
          <w:rFonts w:hint="default" w:ascii="Times New Roman" w:hAnsi="Times New Roman" w:eastAsia="仿宋_GB2312" w:cs="Times New Roman"/>
          <w:color w:val="auto"/>
          <w:sz w:val="30"/>
          <w:szCs w:val="30"/>
          <w:highlight w:val="none"/>
        </w:rPr>
        <w:t>，董事会是股东</w:t>
      </w:r>
      <w:r>
        <w:rPr>
          <w:rFonts w:hint="default" w:ascii="Times New Roman" w:hAnsi="Times New Roman" w:eastAsia="仿宋_GB2312" w:cs="Times New Roman"/>
          <w:color w:val="auto"/>
          <w:sz w:val="30"/>
          <w:szCs w:val="30"/>
          <w:highlight w:val="none"/>
          <w:lang w:val="en-US" w:eastAsia="zh-CN"/>
        </w:rPr>
        <w:t>决定</w:t>
      </w:r>
      <w:r>
        <w:rPr>
          <w:rFonts w:hint="default" w:ascii="Times New Roman" w:hAnsi="Times New Roman" w:eastAsia="仿宋_GB2312" w:cs="Times New Roman"/>
          <w:color w:val="auto"/>
          <w:sz w:val="30"/>
          <w:szCs w:val="30"/>
          <w:highlight w:val="none"/>
        </w:rPr>
        <w:t>的执行机构，对股东负责，监事会行使监督职能。行长受聘于董事会，对本公司日</w:t>
      </w:r>
      <w:r>
        <w:rPr>
          <w:rFonts w:hint="default" w:ascii="Times New Roman" w:hAnsi="Times New Roman" w:eastAsia="仿宋_GB2312" w:cs="Times New Roman"/>
          <w:sz w:val="30"/>
          <w:szCs w:val="30"/>
          <w:highlight w:val="none"/>
        </w:rPr>
        <w:t>常经营管理全面负责。本公司实行一级法人体制，各机构经营管理活动根据总行授权进行，并对总行负责。</w:t>
      </w:r>
    </w:p>
    <w:p>
      <w:pPr>
        <w:keepNext w:val="0"/>
        <w:keepLines w:val="0"/>
        <w:pageBreakBefore w:val="0"/>
        <w:kinsoku/>
        <w:wordWrap/>
        <w:overflowPunct/>
        <w:topLinePunct w:val="0"/>
        <w:bidi w:val="0"/>
        <w:snapToGrid/>
        <w:spacing w:line="560" w:lineRule="exact"/>
        <w:ind w:firstLine="590" w:firstLineChars="196"/>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7.3 与控股股东“五分开”情况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公司与大股东在业务、人员、资产、机构、财务五方面完全独立。公司为自主经营、自负盈亏的独立法人，具有独立、完整的业务及自主经营能力。</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公司风险管理状况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shd w:val="clear" w:color="auto" w:fill="FFFFFF"/>
        </w:rPr>
        <w:t>报告期内，本行深化全面风险管理文化建设，明确风险管理战略与风险偏好，完善政策制度，健全组织架构，创新管理工具，强化风险绩效考核，加强队伍建设，建立了适应本行战略发展需要的全面风险管理体系</w:t>
      </w:r>
      <w:r>
        <w:rPr>
          <w:rFonts w:hint="default" w:ascii="Times New Roman" w:hAnsi="Times New Roman" w:eastAsia="仿宋_GB2312" w:cs="Times New Roman"/>
          <w:sz w:val="30"/>
          <w:szCs w:val="30"/>
          <w:highlight w:val="none"/>
        </w:rPr>
        <w:t>，促进了各项业务的稳健发展。</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8.1  信用风险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行所面临的信用风险是指交易对方无法在到期日履行合同义务的风险。信用风险是本行在经营活动中所面临的最重要的风险，管理层对信用风险敞口采取审慎的原则进行管理。本行的信用风险主要来源于贷款和资金业务。目前本行由信贷评审委员会对信用风险防范进行决策和统筹协调，采取专业化授信评审、集中质量监控、问题资产集中</w:t>
      </w:r>
      <w:r>
        <w:rPr>
          <w:rFonts w:hint="default" w:ascii="Times New Roman" w:hAnsi="Times New Roman" w:eastAsia="仿宋_GB2312" w:cs="Times New Roman"/>
          <w:color w:val="auto"/>
          <w:sz w:val="30"/>
          <w:szCs w:val="30"/>
          <w:highlight w:val="none"/>
          <w:lang w:val="en-US" w:eastAsia="zh-CN"/>
        </w:rPr>
        <w:t>处置</w:t>
      </w:r>
      <w:r>
        <w:rPr>
          <w:rFonts w:hint="default" w:ascii="Times New Roman" w:hAnsi="Times New Roman" w:eastAsia="仿宋_GB2312" w:cs="Times New Roman"/>
          <w:color w:val="auto"/>
          <w:sz w:val="30"/>
          <w:szCs w:val="30"/>
          <w:highlight w:val="none"/>
        </w:rPr>
        <w:t>和清收等主要手段进行信用风险管理。</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lang w:val="en-US" w:eastAsia="zh-CN"/>
        </w:rPr>
        <w:t xml:space="preserve"> </w:t>
      </w:r>
      <w:r>
        <w:rPr>
          <w:rFonts w:hint="default" w:ascii="Times New Roman" w:hAnsi="Times New Roman" w:eastAsia="仿宋_GB2312" w:cs="Times New Roman"/>
          <w:color w:val="auto"/>
          <w:sz w:val="30"/>
          <w:szCs w:val="30"/>
          <w:highlight w:val="none"/>
          <w:shd w:val="clear" w:color="auto" w:fill="FFFFFF"/>
        </w:rPr>
        <w:t>报告期内，我行信用风险较去年大幅增加，截至202</w:t>
      </w:r>
      <w:r>
        <w:rPr>
          <w:rFonts w:hint="eastAsia" w:eastAsia="仿宋_GB2312" w:cs="Times New Roman"/>
          <w:color w:val="auto"/>
          <w:sz w:val="30"/>
          <w:szCs w:val="30"/>
          <w:highlight w:val="none"/>
          <w:shd w:val="clear" w:color="auto" w:fill="FFFFFF"/>
          <w:lang w:val="en-US" w:eastAsia="zh-CN"/>
        </w:rPr>
        <w:t>5</w:t>
      </w:r>
      <w:r>
        <w:rPr>
          <w:rFonts w:hint="default" w:ascii="Times New Roman" w:hAnsi="Times New Roman" w:eastAsia="仿宋_GB2312" w:cs="Times New Roman"/>
          <w:color w:val="auto"/>
          <w:sz w:val="30"/>
          <w:szCs w:val="30"/>
          <w:highlight w:val="none"/>
          <w:shd w:val="clear" w:color="auto" w:fill="FFFFFF"/>
        </w:rPr>
        <w:t>年12月31日,我行各项贷款余额为65410.45万元，较年初增加4966.5万元，增幅为8.22%。不良贷款余额为2268.97万元，较年初增加695.23万元，不良贷款率为3.47%，较年初增加0.87个百分点。贷款拨备余额为3517.74万元，拨备覆盖率为155.04%，拨贷比为5.38%</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8.2  市场风险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市场风险是指市场状况变化对未来收益、公允价值、未来现金流造成的潜在损失。市场风险是由于市场的一般或特定变化对利率、货币和衍生金融工具交易敞口头寸造成影响而产生。市场风险可能影响所有市场风险敏感性金融产品，包括贷款、存款、拆放、证券以及衍生金融工具。</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本行的业务分为交易账户和银行账户。交易账户包括由以交易为目的持有及为规避交易账户市场风险而持有的可以自由交易的金融工具和商品头寸。交易账户旨在从短期价格波动中赢利。风险管理部针对交易账户和投资类银行账户履行识别、计量和监测风险的职能。银行账户指交易账户之外的资产和负债。</w:t>
      </w:r>
      <w:r>
        <w:rPr>
          <w:rFonts w:hint="default" w:ascii="Times New Roman" w:hAnsi="Times New Roman" w:eastAsia="仿宋_GB2312" w:cs="Times New Roman"/>
          <w:color w:val="auto"/>
          <w:sz w:val="30"/>
          <w:szCs w:val="30"/>
          <w:highlight w:val="none"/>
          <w:lang w:val="en-US" w:eastAsia="zh-CN"/>
        </w:rPr>
        <w:t>运营管理部</w:t>
      </w:r>
      <w:r>
        <w:rPr>
          <w:rFonts w:hint="default" w:ascii="Times New Roman" w:hAnsi="Times New Roman" w:eastAsia="仿宋_GB2312" w:cs="Times New Roman"/>
          <w:color w:val="auto"/>
          <w:sz w:val="30"/>
          <w:szCs w:val="30"/>
          <w:highlight w:val="none"/>
        </w:rPr>
        <w:t>针对银行帐户利率风险履行识别、计量和监测风险的职能。</w:t>
      </w:r>
    </w:p>
    <w:p>
      <w:pPr>
        <w:keepNext w:val="0"/>
        <w:keepLines w:val="0"/>
        <w:pageBreakBefore w:val="0"/>
        <w:kinsoku/>
        <w:wordWrap/>
        <w:overflowPunct/>
        <w:topLinePunct w:val="0"/>
        <w:bidi w:val="0"/>
        <w:snapToGrid/>
        <w:spacing w:line="560" w:lineRule="exact"/>
        <w:ind w:firstLine="590" w:firstLineChars="196"/>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8.3  流动性风险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流动性风险是指资产负债现金流错配而不能完全履行支付义务的风险。本行面临各类日常现金提款的要求，其中包括通知存款、活期存款、到期的定期存款、客户贷款提款、担保</w:t>
      </w:r>
      <w:r>
        <w:rPr>
          <w:rFonts w:hint="default" w:ascii="Times New Roman" w:hAnsi="Times New Roman" w:eastAsia="仿宋_GB2312" w:cs="Times New Roman"/>
          <w:color w:val="auto"/>
          <w:sz w:val="30"/>
          <w:szCs w:val="30"/>
          <w:highlight w:val="none"/>
          <w:lang w:eastAsia="zh-CN"/>
        </w:rPr>
        <w:t>等</w:t>
      </w:r>
      <w:r>
        <w:rPr>
          <w:rFonts w:hint="default" w:ascii="Times New Roman" w:hAnsi="Times New Roman" w:eastAsia="仿宋_GB2312" w:cs="Times New Roman"/>
          <w:color w:val="auto"/>
          <w:sz w:val="30"/>
          <w:szCs w:val="30"/>
          <w:highlight w:val="none"/>
        </w:rPr>
        <w:t>付款要求。根据历史经验，相当一部分到期的存款并不会在到期日立即提走，而是续留本行，但同时为确保应对不可预料的资金需求，本行规定了最低的资金存量标准。</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20</w:t>
      </w:r>
      <w:r>
        <w:rPr>
          <w:rFonts w:hint="default" w:ascii="Times New Roman" w:hAnsi="Times New Roman" w:eastAsia="仿宋_GB2312" w:cs="Times New Roman"/>
          <w:color w:val="auto"/>
          <w:sz w:val="30"/>
          <w:szCs w:val="30"/>
          <w:highlight w:val="none"/>
          <w:lang w:val="en-US"/>
        </w:rPr>
        <w:t>2</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年度，本行开展了流动性风险压力测试及评估工作，定量评估利率市场化对流动性风险管理的具体影响；同时，本行还积极采取各项措施，保持存款稳定增长，避免出现持续流失；加强资金头寸管理，合理配置同业业务与投资期限结构，正确把握好资金流动性与盈利性之间的关系。</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8.4  操作风险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操作风险是指由于不完善或有问题的内部操作过程、人员、系统或外部事件而导致的直接或间接损失的风险。本行已建立了适当的政策和程序去降低日常经营中可能发生的风险。程序包括对岗位控制方面的AB角设定、重要资产的保管制度、要求编制人和审核人在每笔交易的传票上签名、设置操作权限、设定业务审批限额、关键岗位的轮岗和强制休假等。同时，本行的管理层具备充分的经验和能力，能够保证控制程序在日常运作中得以有效地实施。本行各个业务部门都建立有较详细的工作流程和相关的操作手册，并定期进行更新和人员培训，从程序上降低了操作风险。员工都有较明确的授权，包括员工的业务操作范围和批准的操作权限。</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8.5  其他风险</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声誉风险方面：我行将声誉风险纳入到全面风险管理体系，完善了声誉风险管理机制，积极开展声誉风险培训，与信息科技公司合作，全面提高舆情检测力度，持续提升舆情应对处置能力，不断加强对重点领域和关键环节的控制，报告期内无重大声誉风险事件发生。</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kern w:val="0"/>
          <w:sz w:val="30"/>
          <w:szCs w:val="30"/>
          <w:highlight w:val="none"/>
        </w:rPr>
        <w:t>法律与合规风险方面：本公司在报告期内无重大损失性事件、无重大违规违法案件发生。</w:t>
      </w:r>
    </w:p>
    <w:p>
      <w:pPr>
        <w:keepNext w:val="0"/>
        <w:keepLines w:val="0"/>
        <w:pageBreakBefore w:val="0"/>
        <w:kinsoku/>
        <w:wordWrap/>
        <w:overflowPunct/>
        <w:topLinePunct w:val="0"/>
        <w:bidi w:val="0"/>
        <w:snapToGrid/>
        <w:spacing w:line="560" w:lineRule="exact"/>
        <w:ind w:left="479" w:leftChars="228" w:firstLine="12" w:firstLineChars="4"/>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9</w:t>
      </w:r>
      <w:r>
        <w:rPr>
          <w:rFonts w:hint="default" w:ascii="Times New Roman" w:hAnsi="Times New Roman" w:eastAsia="仿宋_GB2312" w:cs="Times New Roman"/>
          <w:b/>
          <w:color w:val="auto"/>
          <w:sz w:val="30"/>
          <w:szCs w:val="30"/>
          <w:highlight w:val="none"/>
          <w:lang w:eastAsia="zh-CN"/>
        </w:rPr>
        <w:t>、</w:t>
      </w:r>
      <w:r>
        <w:rPr>
          <w:rFonts w:hint="default" w:ascii="Times New Roman" w:hAnsi="Times New Roman" w:eastAsia="仿宋_GB2312" w:cs="Times New Roman"/>
          <w:b/>
          <w:color w:val="auto"/>
          <w:sz w:val="30"/>
          <w:szCs w:val="30"/>
          <w:highlight w:val="none"/>
        </w:rPr>
        <w:t>股东情况</w:t>
      </w:r>
    </w:p>
    <w:p>
      <w:pPr>
        <w:keepNext w:val="0"/>
        <w:keepLines w:val="0"/>
        <w:pageBreakBefore w:val="0"/>
        <w:kinsoku/>
        <w:wordWrap/>
        <w:overflowPunct/>
        <w:topLinePunct w:val="0"/>
        <w:bidi w:val="0"/>
        <w:adjustRightInd w:val="0"/>
        <w:snapToGrid/>
        <w:spacing w:line="560" w:lineRule="exact"/>
        <w:ind w:firstLine="600" w:firstLineChars="200"/>
        <w:jc w:val="both"/>
        <w:rPr>
          <w:rFonts w:hint="default" w:ascii="Times New Roman" w:hAnsi="Times New Roman" w:eastAsia="仿宋_GB2312" w:cs="Times New Roman"/>
          <w:b w:val="0"/>
          <w:i w:val="0"/>
          <w:caps w:val="0"/>
          <w:color w:val="auto"/>
          <w:spacing w:val="0"/>
          <w:kern w:val="0"/>
          <w:sz w:val="30"/>
          <w:szCs w:val="30"/>
          <w:highlight w:val="none"/>
          <w:lang w:eastAsia="zh-CN"/>
        </w:rPr>
      </w:pPr>
      <w:r>
        <w:rPr>
          <w:rFonts w:hint="default" w:ascii="Times New Roman" w:hAnsi="Times New Roman" w:eastAsia="仿宋_GB2312" w:cs="Times New Roman"/>
          <w:b w:val="0"/>
          <w:i w:val="0"/>
          <w:caps w:val="0"/>
          <w:color w:val="auto"/>
          <w:spacing w:val="0"/>
          <w:kern w:val="0"/>
          <w:sz w:val="30"/>
          <w:szCs w:val="30"/>
          <w:highlight w:val="none"/>
          <w:shd w:val="clear" w:color="auto" w:fill="auto"/>
        </w:rPr>
        <w:t>浙</w:t>
      </w:r>
      <w:r>
        <w:rPr>
          <w:rFonts w:hint="default" w:ascii="Times New Roman" w:hAnsi="Times New Roman" w:eastAsia="仿宋_GB2312" w:cs="Times New Roman"/>
          <w:b w:val="0"/>
          <w:i w:val="0"/>
          <w:caps w:val="0"/>
          <w:color w:val="auto"/>
          <w:spacing w:val="0"/>
          <w:kern w:val="0"/>
          <w:sz w:val="30"/>
          <w:szCs w:val="30"/>
          <w:highlight w:val="none"/>
        </w:rPr>
        <w:t>江稠州商业银行注册资本</w:t>
      </w:r>
      <w:r>
        <w:rPr>
          <w:rFonts w:hint="eastAsia" w:eastAsia="仿宋_GB2312" w:cs="Times New Roman"/>
          <w:b w:val="0"/>
          <w:i w:val="0"/>
          <w:caps w:val="0"/>
          <w:color w:val="auto"/>
          <w:spacing w:val="0"/>
          <w:kern w:val="0"/>
          <w:sz w:val="30"/>
          <w:szCs w:val="30"/>
          <w:highlight w:val="none"/>
          <w:lang w:val="en-US" w:eastAsia="zh-CN"/>
        </w:rPr>
        <w:t>46</w:t>
      </w:r>
      <w:r>
        <w:rPr>
          <w:rFonts w:hint="default" w:ascii="Times New Roman" w:hAnsi="Times New Roman" w:eastAsia="仿宋_GB2312" w:cs="Times New Roman"/>
          <w:b w:val="0"/>
          <w:i w:val="0"/>
          <w:caps w:val="0"/>
          <w:color w:val="auto"/>
          <w:spacing w:val="0"/>
          <w:kern w:val="0"/>
          <w:sz w:val="30"/>
          <w:szCs w:val="30"/>
          <w:highlight w:val="none"/>
        </w:rPr>
        <w:t>亿元，202</w:t>
      </w:r>
      <w:r>
        <w:rPr>
          <w:rFonts w:hint="eastAsia" w:eastAsia="仿宋_GB2312" w:cs="Times New Roman"/>
          <w:b w:val="0"/>
          <w:i w:val="0"/>
          <w:caps w:val="0"/>
          <w:color w:val="auto"/>
          <w:spacing w:val="0"/>
          <w:kern w:val="0"/>
          <w:sz w:val="30"/>
          <w:szCs w:val="30"/>
          <w:highlight w:val="none"/>
          <w:lang w:val="en-US" w:eastAsia="zh-CN"/>
        </w:rPr>
        <w:t>5</w:t>
      </w:r>
      <w:r>
        <w:rPr>
          <w:rFonts w:hint="default" w:ascii="Times New Roman" w:hAnsi="Times New Roman" w:eastAsia="仿宋_GB2312" w:cs="Times New Roman"/>
          <w:b w:val="0"/>
          <w:i w:val="0"/>
          <w:caps w:val="0"/>
          <w:color w:val="auto"/>
          <w:spacing w:val="0"/>
          <w:kern w:val="0"/>
          <w:sz w:val="30"/>
          <w:szCs w:val="30"/>
          <w:highlight w:val="none"/>
        </w:rPr>
        <w:t>年末资产总额</w:t>
      </w:r>
      <w:r>
        <w:rPr>
          <w:rFonts w:hint="default" w:ascii="Times New Roman" w:hAnsi="Times New Roman" w:eastAsia="仿宋_GB2312" w:cs="Times New Roman"/>
          <w:b w:val="0"/>
          <w:i w:val="0"/>
          <w:caps w:val="0"/>
          <w:color w:val="auto"/>
          <w:spacing w:val="0"/>
          <w:kern w:val="0"/>
          <w:sz w:val="30"/>
          <w:szCs w:val="30"/>
          <w:highlight w:val="none"/>
          <w:lang w:val="en-US" w:eastAsia="zh-CN"/>
        </w:rPr>
        <w:t>3</w:t>
      </w:r>
      <w:r>
        <w:rPr>
          <w:rFonts w:hint="eastAsia" w:eastAsia="仿宋_GB2312" w:cs="Times New Roman"/>
          <w:b w:val="0"/>
          <w:i w:val="0"/>
          <w:caps w:val="0"/>
          <w:color w:val="auto"/>
          <w:spacing w:val="0"/>
          <w:kern w:val="0"/>
          <w:sz w:val="30"/>
          <w:szCs w:val="30"/>
          <w:highlight w:val="none"/>
          <w:lang w:val="en-US" w:eastAsia="zh-CN"/>
        </w:rPr>
        <w:t>604</w:t>
      </w:r>
      <w:r>
        <w:rPr>
          <w:rFonts w:hint="default" w:ascii="Times New Roman" w:hAnsi="Times New Roman" w:eastAsia="仿宋_GB2312" w:cs="Times New Roman"/>
          <w:b w:val="0"/>
          <w:i w:val="0"/>
          <w:caps w:val="0"/>
          <w:color w:val="auto"/>
          <w:spacing w:val="0"/>
          <w:kern w:val="0"/>
          <w:sz w:val="30"/>
          <w:szCs w:val="30"/>
          <w:highlight w:val="none"/>
        </w:rPr>
        <w:t>亿元，</w:t>
      </w:r>
      <w:r>
        <w:rPr>
          <w:rFonts w:hint="default" w:ascii="Times New Roman" w:hAnsi="Times New Roman" w:eastAsia="仿宋_GB2312" w:cs="Times New Roman"/>
          <w:b w:val="0"/>
          <w:i w:val="0"/>
          <w:caps w:val="0"/>
          <w:color w:val="auto"/>
          <w:spacing w:val="0"/>
          <w:kern w:val="0"/>
          <w:sz w:val="30"/>
          <w:szCs w:val="30"/>
          <w:highlight w:val="none"/>
          <w:lang w:val="en-US" w:eastAsia="zh-CN"/>
        </w:rPr>
        <w:t>202</w:t>
      </w:r>
      <w:r>
        <w:rPr>
          <w:rFonts w:hint="eastAsia" w:eastAsia="仿宋_GB2312" w:cs="Times New Roman"/>
          <w:b w:val="0"/>
          <w:i w:val="0"/>
          <w:caps w:val="0"/>
          <w:color w:val="auto"/>
          <w:spacing w:val="0"/>
          <w:kern w:val="0"/>
          <w:sz w:val="30"/>
          <w:szCs w:val="30"/>
          <w:highlight w:val="none"/>
          <w:lang w:val="en-US" w:eastAsia="zh-CN"/>
        </w:rPr>
        <w:t>5</w:t>
      </w:r>
      <w:r>
        <w:rPr>
          <w:rFonts w:hint="default" w:ascii="Times New Roman" w:hAnsi="Times New Roman" w:eastAsia="仿宋_GB2312" w:cs="Times New Roman"/>
          <w:b w:val="0"/>
          <w:i w:val="0"/>
          <w:caps w:val="0"/>
          <w:color w:val="auto"/>
          <w:spacing w:val="0"/>
          <w:kern w:val="0"/>
          <w:sz w:val="30"/>
          <w:szCs w:val="30"/>
          <w:highlight w:val="none"/>
        </w:rPr>
        <w:t>年末下设义乌管理部及金华分行等14个分行，下辖</w:t>
      </w:r>
      <w:r>
        <w:rPr>
          <w:rFonts w:hint="eastAsia" w:eastAsia="仿宋_GB2312" w:cs="Times New Roman"/>
          <w:b w:val="0"/>
          <w:i w:val="0"/>
          <w:caps w:val="0"/>
          <w:color w:val="auto"/>
          <w:spacing w:val="0"/>
          <w:kern w:val="0"/>
          <w:sz w:val="30"/>
          <w:szCs w:val="30"/>
          <w:highlight w:val="none"/>
          <w:lang w:val="en-US" w:eastAsia="zh-CN"/>
        </w:rPr>
        <w:t>210</w:t>
      </w:r>
      <w:r>
        <w:rPr>
          <w:rFonts w:hint="default" w:ascii="Times New Roman" w:hAnsi="Times New Roman" w:eastAsia="仿宋_GB2312" w:cs="Times New Roman"/>
          <w:b w:val="0"/>
          <w:i w:val="0"/>
          <w:caps w:val="0"/>
          <w:color w:val="auto"/>
          <w:spacing w:val="0"/>
          <w:kern w:val="0"/>
          <w:sz w:val="30"/>
          <w:szCs w:val="30"/>
          <w:highlight w:val="none"/>
        </w:rPr>
        <w:t>个支行。发起成立村镇银行</w:t>
      </w:r>
      <w:r>
        <w:rPr>
          <w:rFonts w:hint="eastAsia" w:eastAsia="仿宋_GB2312" w:cs="Times New Roman"/>
          <w:b w:val="0"/>
          <w:i w:val="0"/>
          <w:caps w:val="0"/>
          <w:color w:val="auto"/>
          <w:spacing w:val="0"/>
          <w:kern w:val="0"/>
          <w:sz w:val="30"/>
          <w:szCs w:val="30"/>
          <w:highlight w:val="none"/>
          <w:lang w:val="en-US" w:eastAsia="zh-CN"/>
        </w:rPr>
        <w:t>7</w:t>
      </w:r>
      <w:r>
        <w:rPr>
          <w:rFonts w:hint="default" w:ascii="Times New Roman" w:hAnsi="Times New Roman" w:eastAsia="仿宋_GB2312" w:cs="Times New Roman"/>
          <w:b w:val="0"/>
          <w:i w:val="0"/>
          <w:caps w:val="0"/>
          <w:color w:val="auto"/>
          <w:spacing w:val="0"/>
          <w:kern w:val="0"/>
          <w:sz w:val="30"/>
          <w:szCs w:val="30"/>
          <w:highlight w:val="none"/>
        </w:rPr>
        <w:t>家及金融租赁公司1家，202</w:t>
      </w:r>
      <w:r>
        <w:rPr>
          <w:rFonts w:hint="eastAsia" w:eastAsia="仿宋_GB2312" w:cs="Times New Roman"/>
          <w:b w:val="0"/>
          <w:i w:val="0"/>
          <w:caps w:val="0"/>
          <w:color w:val="auto"/>
          <w:spacing w:val="0"/>
          <w:kern w:val="0"/>
          <w:sz w:val="30"/>
          <w:szCs w:val="30"/>
          <w:highlight w:val="none"/>
          <w:lang w:val="en-US" w:eastAsia="zh-CN"/>
        </w:rPr>
        <w:t>5</w:t>
      </w:r>
      <w:r>
        <w:rPr>
          <w:rFonts w:hint="default" w:ascii="Times New Roman" w:hAnsi="Times New Roman" w:eastAsia="仿宋_GB2312" w:cs="Times New Roman"/>
          <w:b w:val="0"/>
          <w:i w:val="0"/>
          <w:caps w:val="0"/>
          <w:color w:val="auto"/>
          <w:spacing w:val="0"/>
          <w:kern w:val="0"/>
          <w:sz w:val="30"/>
          <w:szCs w:val="30"/>
          <w:highlight w:val="none"/>
        </w:rPr>
        <w:t>年英国《银行家》全球银行排名第3</w:t>
      </w:r>
      <w:r>
        <w:rPr>
          <w:rFonts w:hint="eastAsia" w:eastAsia="仿宋_GB2312" w:cs="Times New Roman"/>
          <w:b w:val="0"/>
          <w:i w:val="0"/>
          <w:caps w:val="0"/>
          <w:color w:val="auto"/>
          <w:spacing w:val="0"/>
          <w:kern w:val="0"/>
          <w:sz w:val="30"/>
          <w:szCs w:val="30"/>
          <w:highlight w:val="none"/>
          <w:lang w:val="en-US" w:eastAsia="zh-CN"/>
        </w:rPr>
        <w:t>90</w:t>
      </w:r>
      <w:r>
        <w:rPr>
          <w:rFonts w:hint="default" w:ascii="Times New Roman" w:hAnsi="Times New Roman" w:eastAsia="仿宋_GB2312" w:cs="Times New Roman"/>
          <w:b w:val="0"/>
          <w:i w:val="0"/>
          <w:caps w:val="0"/>
          <w:color w:val="auto"/>
          <w:spacing w:val="0"/>
          <w:kern w:val="0"/>
          <w:sz w:val="30"/>
          <w:szCs w:val="30"/>
          <w:highlight w:val="none"/>
        </w:rPr>
        <w:t>位。</w:t>
      </w:r>
    </w:p>
    <w:p>
      <w:pPr>
        <w:keepNext w:val="0"/>
        <w:keepLines w:val="0"/>
        <w:pageBreakBefore w:val="0"/>
        <w:kinsoku/>
        <w:wordWrap/>
        <w:overflowPunct/>
        <w:topLinePunct w:val="0"/>
        <w:bidi w:val="0"/>
        <w:adjustRightInd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10</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董事会报告</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报告期内，在监管部门的指导和当地政府的大力支持下，董事会切实履行《公司法》和本行《章程》所赋予的职责，认真贯彻落实</w:t>
      </w:r>
      <w:r>
        <w:rPr>
          <w:rFonts w:hint="default" w:ascii="Times New Roman" w:hAnsi="Times New Roman" w:eastAsia="仿宋_GB2312" w:cs="Times New Roman"/>
          <w:color w:val="auto"/>
          <w:sz w:val="30"/>
          <w:szCs w:val="30"/>
          <w:highlight w:val="none"/>
          <w:lang w:eastAsia="zh-CN"/>
        </w:rPr>
        <w:t>发起行</w:t>
      </w:r>
      <w:r>
        <w:rPr>
          <w:rFonts w:hint="default" w:ascii="Times New Roman" w:hAnsi="Times New Roman" w:eastAsia="仿宋_GB2312" w:cs="Times New Roman"/>
          <w:color w:val="auto"/>
          <w:sz w:val="30"/>
          <w:szCs w:val="30"/>
          <w:highlight w:val="none"/>
        </w:rPr>
        <w:t>各项决议，齐心协力，攻坚克难，</w:t>
      </w:r>
      <w:r>
        <w:rPr>
          <w:rFonts w:hint="default" w:ascii="Times New Roman" w:hAnsi="Times New Roman" w:eastAsia="仿宋_GB2312" w:cs="Times New Roman"/>
          <w:color w:val="auto"/>
          <w:sz w:val="30"/>
          <w:szCs w:val="30"/>
          <w:highlight w:val="none"/>
          <w:lang w:eastAsia="zh-CN"/>
        </w:rPr>
        <w:t>确保稳健经营发展</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zh-CN"/>
        </w:rPr>
        <w:t>我行资产总额</w:t>
      </w:r>
      <w:r>
        <w:rPr>
          <w:rFonts w:hint="eastAsia" w:eastAsia="仿宋_GB2312" w:cs="Times New Roman"/>
          <w:color w:val="auto"/>
          <w:sz w:val="30"/>
          <w:szCs w:val="30"/>
          <w:highlight w:val="none"/>
          <w:lang w:val="en-US" w:eastAsia="zh-CN"/>
        </w:rPr>
        <w:t>111264.15</w:t>
      </w:r>
      <w:r>
        <w:rPr>
          <w:rFonts w:hint="default" w:ascii="Times New Roman" w:hAnsi="Times New Roman" w:eastAsia="仿宋_GB2312" w:cs="Times New Roman"/>
          <w:color w:val="auto"/>
          <w:sz w:val="30"/>
          <w:szCs w:val="30"/>
          <w:highlight w:val="none"/>
          <w:lang w:val="zh-CN"/>
        </w:rPr>
        <w:t>万元，较年初增加</w:t>
      </w:r>
      <w:r>
        <w:rPr>
          <w:rFonts w:hint="eastAsia" w:eastAsia="仿宋_GB2312" w:cs="Times New Roman"/>
          <w:color w:val="auto"/>
          <w:sz w:val="30"/>
          <w:szCs w:val="30"/>
          <w:highlight w:val="none"/>
          <w:lang w:val="en-US" w:eastAsia="zh-CN"/>
        </w:rPr>
        <w:t>14831.27</w:t>
      </w:r>
      <w:r>
        <w:rPr>
          <w:rFonts w:hint="default" w:ascii="Times New Roman" w:hAnsi="Times New Roman" w:eastAsia="仿宋_GB2312" w:cs="Times New Roman"/>
          <w:color w:val="auto"/>
          <w:sz w:val="30"/>
          <w:szCs w:val="30"/>
          <w:highlight w:val="none"/>
          <w:lang w:val="zh-CN"/>
        </w:rPr>
        <w:t>万元，增幅</w:t>
      </w:r>
      <w:r>
        <w:rPr>
          <w:rFonts w:hint="eastAsia" w:eastAsia="仿宋_GB2312" w:cs="Times New Roman"/>
          <w:color w:val="auto"/>
          <w:sz w:val="30"/>
          <w:szCs w:val="30"/>
          <w:highlight w:val="none"/>
          <w:lang w:val="en-US" w:eastAsia="zh-CN"/>
        </w:rPr>
        <w:t>15.38</w:t>
      </w:r>
      <w:r>
        <w:rPr>
          <w:rFonts w:hint="default" w:ascii="Times New Roman" w:hAnsi="Times New Roman" w:eastAsia="仿宋_GB2312" w:cs="Times New Roman"/>
          <w:color w:val="auto"/>
          <w:sz w:val="30"/>
          <w:szCs w:val="30"/>
          <w:highlight w:val="none"/>
          <w:lang w:val="zh-CN"/>
        </w:rPr>
        <w:t>%。负债总额</w:t>
      </w:r>
      <w:r>
        <w:rPr>
          <w:rFonts w:hint="eastAsia" w:eastAsia="仿宋_GB2312" w:cs="Times New Roman"/>
          <w:color w:val="auto"/>
          <w:sz w:val="30"/>
          <w:szCs w:val="30"/>
          <w:highlight w:val="none"/>
          <w:lang w:val="en-US" w:eastAsia="zh-CN"/>
        </w:rPr>
        <w:t>99266.99</w:t>
      </w:r>
      <w:r>
        <w:rPr>
          <w:rFonts w:hint="default" w:ascii="Times New Roman" w:hAnsi="Times New Roman" w:eastAsia="仿宋_GB2312" w:cs="Times New Roman"/>
          <w:color w:val="auto"/>
          <w:sz w:val="30"/>
          <w:szCs w:val="30"/>
          <w:highlight w:val="none"/>
          <w:lang w:val="zh-CN"/>
        </w:rPr>
        <w:t>万元，较年初增加</w:t>
      </w:r>
      <w:r>
        <w:rPr>
          <w:rFonts w:hint="eastAsia" w:eastAsia="仿宋_GB2312" w:cs="Times New Roman"/>
          <w:color w:val="auto"/>
          <w:sz w:val="30"/>
          <w:szCs w:val="30"/>
          <w:highlight w:val="none"/>
          <w:lang w:val="en-US" w:eastAsia="zh-CN"/>
        </w:rPr>
        <w:t>16218.5</w:t>
      </w:r>
      <w:r>
        <w:rPr>
          <w:rFonts w:hint="default" w:ascii="Times New Roman" w:hAnsi="Times New Roman" w:eastAsia="仿宋_GB2312" w:cs="Times New Roman"/>
          <w:color w:val="auto"/>
          <w:sz w:val="30"/>
          <w:szCs w:val="30"/>
          <w:highlight w:val="none"/>
          <w:lang w:val="zh-CN"/>
        </w:rPr>
        <w:t>万元，增幅</w:t>
      </w:r>
      <w:r>
        <w:rPr>
          <w:rFonts w:hint="eastAsia" w:eastAsia="仿宋_GB2312" w:cs="Times New Roman"/>
          <w:color w:val="auto"/>
          <w:sz w:val="30"/>
          <w:szCs w:val="30"/>
          <w:highlight w:val="none"/>
          <w:lang w:val="en-US" w:eastAsia="zh-CN"/>
        </w:rPr>
        <w:t>19.53</w:t>
      </w:r>
      <w:r>
        <w:rPr>
          <w:rFonts w:hint="default" w:ascii="Times New Roman" w:hAnsi="Times New Roman" w:eastAsia="仿宋_GB2312" w:cs="Times New Roman"/>
          <w:color w:val="auto"/>
          <w:sz w:val="30"/>
          <w:szCs w:val="30"/>
          <w:highlight w:val="none"/>
          <w:lang w:val="zh-CN"/>
        </w:rPr>
        <w:t>%，其中：各项存款余额</w:t>
      </w:r>
      <w:r>
        <w:rPr>
          <w:rFonts w:hint="eastAsia" w:eastAsia="仿宋_GB2312" w:cs="Times New Roman"/>
          <w:color w:val="auto"/>
          <w:sz w:val="30"/>
          <w:szCs w:val="30"/>
          <w:highlight w:val="none"/>
          <w:lang w:val="en-US" w:eastAsia="zh-CN"/>
        </w:rPr>
        <w:t>95558.62</w:t>
      </w:r>
      <w:r>
        <w:rPr>
          <w:rFonts w:hint="default" w:ascii="Times New Roman" w:hAnsi="Times New Roman" w:eastAsia="仿宋_GB2312" w:cs="Times New Roman"/>
          <w:color w:val="auto"/>
          <w:sz w:val="30"/>
          <w:szCs w:val="30"/>
          <w:highlight w:val="none"/>
          <w:lang w:val="zh-CN"/>
        </w:rPr>
        <w:t>万元，较年初增加</w:t>
      </w:r>
      <w:r>
        <w:rPr>
          <w:rFonts w:hint="eastAsia" w:eastAsia="仿宋_GB2312" w:cs="Times New Roman"/>
          <w:color w:val="auto"/>
          <w:sz w:val="30"/>
          <w:szCs w:val="30"/>
          <w:highlight w:val="none"/>
          <w:lang w:val="en-US" w:eastAsia="zh-CN"/>
        </w:rPr>
        <w:t>15098.54</w:t>
      </w:r>
      <w:r>
        <w:rPr>
          <w:rFonts w:hint="default" w:ascii="Times New Roman" w:hAnsi="Times New Roman" w:eastAsia="仿宋_GB2312" w:cs="Times New Roman"/>
          <w:color w:val="auto"/>
          <w:sz w:val="30"/>
          <w:szCs w:val="30"/>
          <w:highlight w:val="none"/>
          <w:lang w:val="zh-CN"/>
        </w:rPr>
        <w:t>万元，增幅</w:t>
      </w:r>
      <w:r>
        <w:rPr>
          <w:rFonts w:hint="eastAsia" w:eastAsia="仿宋_GB2312" w:cs="Times New Roman"/>
          <w:color w:val="auto"/>
          <w:sz w:val="30"/>
          <w:szCs w:val="30"/>
          <w:highlight w:val="none"/>
          <w:lang w:val="en-US" w:eastAsia="zh-CN"/>
        </w:rPr>
        <w:t>18.77</w:t>
      </w:r>
      <w:r>
        <w:rPr>
          <w:rFonts w:hint="default" w:ascii="Times New Roman" w:hAnsi="Times New Roman" w:eastAsia="仿宋_GB2312" w:cs="Times New Roman"/>
          <w:color w:val="auto"/>
          <w:sz w:val="30"/>
          <w:szCs w:val="30"/>
          <w:highlight w:val="none"/>
          <w:lang w:val="zh-CN"/>
        </w:rPr>
        <w:t>%；各项贷款余额</w:t>
      </w:r>
      <w:r>
        <w:rPr>
          <w:rFonts w:hint="eastAsia" w:eastAsia="仿宋_GB2312" w:cs="Times New Roman"/>
          <w:color w:val="auto"/>
          <w:sz w:val="30"/>
          <w:szCs w:val="30"/>
          <w:highlight w:val="none"/>
          <w:lang w:val="en-US" w:eastAsia="zh-CN"/>
        </w:rPr>
        <w:t>65410.45</w:t>
      </w:r>
      <w:r>
        <w:rPr>
          <w:rFonts w:hint="default" w:ascii="Times New Roman" w:hAnsi="Times New Roman" w:eastAsia="仿宋_GB2312" w:cs="Times New Roman"/>
          <w:color w:val="auto"/>
          <w:sz w:val="30"/>
          <w:szCs w:val="30"/>
          <w:highlight w:val="none"/>
          <w:lang w:val="zh-CN"/>
        </w:rPr>
        <w:t>万元，较年初增加</w:t>
      </w:r>
      <w:r>
        <w:rPr>
          <w:rFonts w:hint="eastAsia" w:eastAsia="仿宋_GB2312" w:cs="Times New Roman"/>
          <w:color w:val="auto"/>
          <w:sz w:val="30"/>
          <w:szCs w:val="30"/>
          <w:highlight w:val="none"/>
          <w:lang w:val="en-US" w:eastAsia="zh-CN"/>
        </w:rPr>
        <w:t>4966.5</w:t>
      </w:r>
      <w:r>
        <w:rPr>
          <w:rFonts w:hint="default" w:ascii="Times New Roman" w:hAnsi="Times New Roman" w:eastAsia="仿宋_GB2312" w:cs="Times New Roman"/>
          <w:color w:val="auto"/>
          <w:sz w:val="30"/>
          <w:szCs w:val="30"/>
          <w:highlight w:val="none"/>
          <w:lang w:val="zh-CN"/>
        </w:rPr>
        <w:t>万元，增幅</w:t>
      </w:r>
      <w:r>
        <w:rPr>
          <w:rFonts w:hint="eastAsia" w:eastAsia="仿宋_GB2312" w:cs="Times New Roman"/>
          <w:color w:val="auto"/>
          <w:sz w:val="30"/>
          <w:szCs w:val="30"/>
          <w:highlight w:val="none"/>
          <w:lang w:val="en-US" w:eastAsia="zh-CN"/>
        </w:rPr>
        <w:t>8.22</w:t>
      </w:r>
      <w:r>
        <w:rPr>
          <w:rFonts w:hint="default" w:ascii="Times New Roman" w:hAnsi="Times New Roman" w:eastAsia="仿宋_GB2312" w:cs="Times New Roman"/>
          <w:color w:val="auto"/>
          <w:sz w:val="30"/>
          <w:szCs w:val="30"/>
          <w:highlight w:val="none"/>
          <w:lang w:val="zh-CN"/>
        </w:rPr>
        <w:t>%</w:t>
      </w:r>
      <w:r>
        <w:rPr>
          <w:rFonts w:hint="default" w:ascii="Times New Roman" w:hAnsi="Times New Roman" w:eastAsia="仿宋_GB2312" w:cs="Times New Roman"/>
          <w:color w:val="auto"/>
          <w:sz w:val="30"/>
          <w:szCs w:val="30"/>
          <w:highlight w:val="none"/>
        </w:rPr>
        <w:t>；全年没有发生经济案件和“三防一保”案件。</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11</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监事会报告</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监事会认为：报告期内，公司依法经营，公司财务情况、关联交易等均不存在问题。未发现公司董事、高级管理层成员执行公司职务时有违反法律法规、《公司章程》或损害公司及股东利益的行为。</w:t>
      </w:r>
    </w:p>
    <w:p>
      <w:pPr>
        <w:keepNext w:val="0"/>
        <w:keepLines w:val="0"/>
        <w:pageBreakBefore w:val="0"/>
        <w:kinsoku/>
        <w:wordWrap/>
        <w:overflowPunct/>
        <w:topLinePunct w:val="0"/>
        <w:bidi w:val="0"/>
        <w:snapToGrid/>
        <w:spacing w:line="560" w:lineRule="exact"/>
        <w:ind w:left="479" w:leftChars="228" w:firstLine="0" w:firstLineChars="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12</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其它重要事项</w:t>
      </w:r>
      <w:r>
        <w:rPr>
          <w:rFonts w:hint="default" w:ascii="Times New Roman" w:hAnsi="Times New Roman" w:eastAsia="仿宋_GB2312" w:cs="Times New Roman"/>
          <w:color w:val="auto"/>
          <w:sz w:val="30"/>
          <w:szCs w:val="30"/>
          <w:highlight w:val="none"/>
        </w:rPr>
        <w:br w:type="textWrapping"/>
      </w:r>
      <w:r>
        <w:rPr>
          <w:rFonts w:hint="default" w:ascii="Times New Roman" w:hAnsi="Times New Roman" w:eastAsia="仿宋_GB2312" w:cs="Times New Roman"/>
          <w:b/>
          <w:color w:val="auto"/>
          <w:sz w:val="30"/>
          <w:szCs w:val="30"/>
          <w:highlight w:val="none"/>
        </w:rPr>
        <w:t>12.1重大诉讼仲裁事项</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本公司报告期内有</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起劳动争议诉讼仲裁事项</w:t>
      </w:r>
      <w:r>
        <w:rPr>
          <w:rFonts w:hint="default" w:ascii="Times New Roman" w:hAnsi="Times New Roman" w:eastAsia="仿宋_GB2312" w:cs="Times New Roman"/>
          <w:sz w:val="30"/>
          <w:szCs w:val="30"/>
          <w:highlight w:val="none"/>
          <w:lang w:eastAsia="zh-CN"/>
        </w:rPr>
        <w:t>。</w:t>
      </w:r>
    </w:p>
    <w:p>
      <w:pPr>
        <w:keepNext w:val="0"/>
        <w:keepLines w:val="0"/>
        <w:pageBreakBefore w:val="0"/>
        <w:kinsoku/>
        <w:wordWrap/>
        <w:overflowPunct/>
        <w:topLinePunct w:val="0"/>
        <w:bidi w:val="0"/>
        <w:snapToGrid/>
        <w:spacing w:line="560" w:lineRule="exact"/>
        <w:ind w:left="420" w:leftChars="200" w:firstLine="12" w:firstLineChars="4"/>
        <w:jc w:val="both"/>
        <w:rPr>
          <w:rFonts w:hint="default" w:ascii="Times New Roman" w:hAnsi="Times New Roman" w:eastAsia="仿宋_GB2312" w:cs="Times New Roman"/>
          <w:b/>
          <w:sz w:val="30"/>
          <w:szCs w:val="30"/>
          <w:highlight w:val="none"/>
          <w:lang w:val="en-US" w:eastAsia="zh-CN"/>
        </w:rPr>
      </w:pPr>
      <w:r>
        <w:rPr>
          <w:rFonts w:hint="default" w:ascii="Times New Roman" w:hAnsi="Times New Roman" w:eastAsia="仿宋_GB2312" w:cs="Times New Roman"/>
          <w:b/>
          <w:sz w:val="30"/>
          <w:szCs w:val="30"/>
          <w:highlight w:val="none"/>
          <w:lang w:val="en-US" w:eastAsia="zh-CN"/>
        </w:rPr>
        <w:t>12.2 其他投诉</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本年度，我行共受理金融消费者投诉</w:t>
      </w:r>
      <w:r>
        <w:rPr>
          <w:rFonts w:hint="default" w:ascii="Times New Roman" w:hAnsi="Times New Roman" w:eastAsia="仿宋_GB2312" w:cs="Times New Roman"/>
          <w:color w:val="auto"/>
          <w:sz w:val="30"/>
          <w:szCs w:val="30"/>
          <w:highlight w:val="none"/>
          <w:lang w:val="en-US" w:eastAsia="zh-CN"/>
        </w:rPr>
        <w:t>0</w:t>
      </w:r>
      <w:r>
        <w:rPr>
          <w:rFonts w:hint="default" w:ascii="Times New Roman" w:hAnsi="Times New Roman" w:eastAsia="仿宋_GB2312" w:cs="Times New Roman"/>
          <w:color w:val="auto"/>
          <w:sz w:val="30"/>
          <w:szCs w:val="30"/>
          <w:highlight w:val="none"/>
        </w:rPr>
        <w:t>起；接受客户电话咨询</w:t>
      </w:r>
      <w:r>
        <w:rPr>
          <w:rFonts w:hint="eastAsia" w:eastAsia="仿宋_GB2312" w:cs="Times New Roman"/>
          <w:color w:val="auto"/>
          <w:sz w:val="30"/>
          <w:szCs w:val="30"/>
          <w:highlight w:val="none"/>
          <w:lang w:val="en-US" w:eastAsia="zh-CN"/>
        </w:rPr>
        <w:t>76</w:t>
      </w:r>
      <w:r>
        <w:rPr>
          <w:rFonts w:hint="default" w:ascii="Times New Roman" w:hAnsi="Times New Roman" w:eastAsia="仿宋_GB2312" w:cs="Times New Roman"/>
          <w:color w:val="auto"/>
          <w:sz w:val="30"/>
          <w:szCs w:val="30"/>
          <w:highlight w:val="none"/>
        </w:rPr>
        <w:t>余次、营业网点意见簿客户建议0条，主要围绕我行开展支付结算、账户开立、存（贷）款业务咨询、优质文明服务建议等方面。</w:t>
      </w:r>
    </w:p>
    <w:p>
      <w:pPr>
        <w:keepNext w:val="0"/>
        <w:keepLines w:val="0"/>
        <w:pageBreakBefore w:val="0"/>
        <w:kinsoku/>
        <w:wordWrap/>
        <w:overflowPunct/>
        <w:topLinePunct w:val="0"/>
        <w:bidi w:val="0"/>
        <w:snapToGrid/>
        <w:spacing w:line="560" w:lineRule="exact"/>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 xml:space="preserve">    12.</w:t>
      </w:r>
      <w:r>
        <w:rPr>
          <w:rFonts w:hint="default" w:ascii="Times New Roman" w:hAnsi="Times New Roman" w:eastAsia="仿宋_GB2312" w:cs="Times New Roman"/>
          <w:b/>
          <w:color w:val="auto"/>
          <w:sz w:val="30"/>
          <w:szCs w:val="30"/>
          <w:highlight w:val="none"/>
          <w:lang w:val="en-US" w:eastAsia="zh-CN"/>
        </w:rPr>
        <w:t>3</w:t>
      </w:r>
      <w:r>
        <w:rPr>
          <w:rFonts w:hint="default" w:ascii="Times New Roman" w:hAnsi="Times New Roman" w:eastAsia="仿宋_GB2312" w:cs="Times New Roman"/>
          <w:b/>
          <w:color w:val="auto"/>
          <w:sz w:val="30"/>
          <w:szCs w:val="30"/>
          <w:highlight w:val="none"/>
        </w:rPr>
        <w:t>重大托管、担保、承诺、委托资产管理事项</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rPr>
        <w:t>本公司报告期内无重大托管、担保、承诺、委托资产管理事项。</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4</w:t>
      </w:r>
      <w:r>
        <w:rPr>
          <w:rFonts w:hint="default" w:ascii="Times New Roman" w:hAnsi="Times New Roman" w:eastAsia="仿宋_GB2312" w:cs="Times New Roman"/>
          <w:b/>
          <w:sz w:val="30"/>
          <w:szCs w:val="30"/>
          <w:highlight w:val="none"/>
        </w:rPr>
        <w:t>关联交易情况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sz w:val="30"/>
          <w:szCs w:val="30"/>
          <w:highlight w:val="none"/>
        </w:rPr>
        <w:t>本公司在处理关联交易时，遵循诚实信用和公允的商业原则，严格按照有关法律法规和公司制定的相关规章制度，以不优于非关联方同类型交易的条件进行操作。</w:t>
      </w:r>
      <w:r>
        <w:rPr>
          <w:rFonts w:hint="default" w:ascii="Times New Roman" w:hAnsi="Times New Roman" w:eastAsia="仿宋_GB2312" w:cs="Times New Roman"/>
          <w:kern w:val="0"/>
          <w:sz w:val="30"/>
          <w:szCs w:val="30"/>
          <w:highlight w:val="none"/>
        </w:rPr>
        <w:t>报告期内无向持有本行5%及5%以上股份的股东收取的贷款利息收入的事项；无对董事、关键管理人员的贷款。</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kern w:val="0"/>
          <w:sz w:val="30"/>
          <w:szCs w:val="30"/>
          <w:highlight w:val="none"/>
          <w:lang w:val="en-US" w:eastAsia="zh-CN"/>
        </w:rPr>
        <w:t>报告期内上报关联交易</w:t>
      </w:r>
      <w:r>
        <w:rPr>
          <w:rFonts w:hint="eastAsia" w:eastAsia="仿宋_GB2312" w:cs="Times New Roman"/>
          <w:color w:val="auto"/>
          <w:kern w:val="0"/>
          <w:sz w:val="30"/>
          <w:szCs w:val="30"/>
          <w:highlight w:val="none"/>
          <w:lang w:val="en-US" w:eastAsia="zh-CN"/>
        </w:rPr>
        <w:t>2</w:t>
      </w:r>
      <w:r>
        <w:rPr>
          <w:rFonts w:hint="default" w:ascii="Times New Roman" w:hAnsi="Times New Roman" w:eastAsia="仿宋_GB2312" w:cs="Times New Roman"/>
          <w:color w:val="auto"/>
          <w:kern w:val="0"/>
          <w:sz w:val="30"/>
          <w:szCs w:val="30"/>
          <w:highlight w:val="none"/>
          <w:lang w:val="en-US" w:eastAsia="zh-CN"/>
        </w:rPr>
        <w:t>笔，为我行存放主发起行浙江稠州商业银行股份有限公司同业存款合计</w:t>
      </w:r>
      <w:r>
        <w:rPr>
          <w:rFonts w:hint="eastAsia" w:eastAsia="仿宋_GB2312" w:cs="Times New Roman"/>
          <w:color w:val="auto"/>
          <w:kern w:val="0"/>
          <w:sz w:val="30"/>
          <w:szCs w:val="30"/>
          <w:highlight w:val="none"/>
          <w:lang w:val="en-US" w:eastAsia="zh-CN"/>
        </w:rPr>
        <w:t>2</w:t>
      </w:r>
      <w:r>
        <w:rPr>
          <w:rFonts w:hint="default" w:ascii="Times New Roman" w:hAnsi="Times New Roman" w:eastAsia="仿宋_GB2312" w:cs="Times New Roman"/>
          <w:color w:val="auto"/>
          <w:kern w:val="0"/>
          <w:sz w:val="30"/>
          <w:szCs w:val="30"/>
          <w:highlight w:val="none"/>
          <w:lang w:val="en-US" w:eastAsia="zh-CN"/>
        </w:rPr>
        <w:t>笔，金额</w:t>
      </w:r>
      <w:r>
        <w:rPr>
          <w:rFonts w:hint="eastAsia" w:eastAsia="仿宋_GB2312" w:cs="Times New Roman"/>
          <w:color w:val="auto"/>
          <w:kern w:val="0"/>
          <w:sz w:val="30"/>
          <w:szCs w:val="30"/>
          <w:highlight w:val="none"/>
          <w:lang w:val="en-US" w:eastAsia="zh-CN"/>
        </w:rPr>
        <w:t>2500</w:t>
      </w:r>
      <w:r>
        <w:rPr>
          <w:rFonts w:hint="default" w:ascii="Times New Roman" w:hAnsi="Times New Roman" w:eastAsia="仿宋_GB2312" w:cs="Times New Roman"/>
          <w:color w:val="auto"/>
          <w:kern w:val="0"/>
          <w:sz w:val="30"/>
          <w:szCs w:val="30"/>
          <w:highlight w:val="none"/>
          <w:lang w:val="en-US" w:eastAsia="zh-CN"/>
        </w:rPr>
        <w:t>万元。</w:t>
      </w:r>
      <w:r>
        <w:rPr>
          <w:rFonts w:hint="default" w:ascii="Times New Roman" w:hAnsi="Times New Roman" w:eastAsia="仿宋_GB2312" w:cs="Times New Roman"/>
          <w:b/>
          <w:color w:val="auto"/>
          <w:sz w:val="30"/>
          <w:szCs w:val="30"/>
          <w:highlight w:val="none"/>
        </w:rPr>
        <w:t xml:space="preserve">  </w:t>
      </w:r>
      <w:r>
        <w:rPr>
          <w:rFonts w:hint="default" w:ascii="Times New Roman" w:hAnsi="Times New Roman" w:eastAsia="仿宋_GB2312" w:cs="Times New Roman"/>
          <w:b/>
          <w:sz w:val="30"/>
          <w:szCs w:val="30"/>
          <w:highlight w:val="none"/>
        </w:rPr>
        <w:t xml:space="preserve">  </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5</w:t>
      </w:r>
      <w:r>
        <w:rPr>
          <w:rFonts w:hint="eastAsia" w:eastAsia="仿宋_GB2312" w:cs="Times New Roman"/>
          <w:b/>
          <w:sz w:val="30"/>
          <w:szCs w:val="30"/>
          <w:highlight w:val="none"/>
          <w:lang w:val="en-US" w:eastAsia="zh-CN"/>
        </w:rPr>
        <w:t>公司</w:t>
      </w:r>
      <w:r>
        <w:rPr>
          <w:rFonts w:hint="default" w:ascii="Times New Roman" w:hAnsi="Times New Roman" w:eastAsia="仿宋_GB2312" w:cs="Times New Roman"/>
          <w:b/>
          <w:sz w:val="30"/>
          <w:szCs w:val="30"/>
          <w:highlight w:val="none"/>
        </w:rPr>
        <w:t>董事、监事及高级管理人员接受处罚情况</w:t>
      </w:r>
    </w:p>
    <w:tbl>
      <w:tblPr>
        <w:tblStyle w:val="4"/>
        <w:tblW w:w="8355" w:type="dxa"/>
        <w:tblInd w:w="0" w:type="dxa"/>
        <w:tblLayout w:type="fixed"/>
        <w:tblCellMar>
          <w:top w:w="0" w:type="dxa"/>
          <w:left w:w="0" w:type="dxa"/>
          <w:bottom w:w="0" w:type="dxa"/>
          <w:right w:w="0" w:type="dxa"/>
        </w:tblCellMar>
      </w:tblPr>
      <w:tblGrid>
        <w:gridCol w:w="555"/>
        <w:gridCol w:w="886"/>
        <w:gridCol w:w="1550"/>
        <w:gridCol w:w="1400"/>
        <w:gridCol w:w="1583"/>
        <w:gridCol w:w="767"/>
        <w:gridCol w:w="933"/>
        <w:gridCol w:w="681"/>
      </w:tblGrid>
      <w:tr>
        <w:tblPrEx>
          <w:tblCellMar>
            <w:top w:w="0" w:type="dxa"/>
            <w:left w:w="0" w:type="dxa"/>
            <w:bottom w:w="0" w:type="dxa"/>
            <w:right w:w="0" w:type="dxa"/>
          </w:tblCellMar>
        </w:tblPrEx>
        <w:trPr>
          <w:trHeight w:val="30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序号</w:t>
            </w:r>
          </w:p>
        </w:tc>
        <w:tc>
          <w:tcPr>
            <w:tcW w:w="8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对象</w:t>
            </w:r>
          </w:p>
        </w:tc>
        <w:tc>
          <w:tcPr>
            <w:tcW w:w="1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处罚事由</w:t>
            </w:r>
          </w:p>
        </w:tc>
        <w:tc>
          <w:tcPr>
            <w:tcW w:w="14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处罚单位</w:t>
            </w:r>
          </w:p>
        </w:tc>
        <w:tc>
          <w:tcPr>
            <w:tcW w:w="15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处罚决定书</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文号</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时间</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57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罚款金额（万元）</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其他</w:t>
            </w:r>
          </w:p>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imes New Roman" w:hAnsi="Times New Roman" w:eastAsia="仿宋_GB2312" w:cs="Times New Roman"/>
                <w:color w:val="000000"/>
                <w:sz w:val="24"/>
                <w:szCs w:val="24"/>
                <w:highlight w:val="none"/>
                <w:lang w:val="en-US" w:eastAsia="zh-CN"/>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FF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FF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000000"/>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6</w:t>
      </w:r>
      <w:r>
        <w:rPr>
          <w:rFonts w:hint="default" w:ascii="Times New Roman" w:hAnsi="Times New Roman" w:eastAsia="仿宋_GB2312" w:cs="Times New Roman"/>
          <w:b/>
          <w:sz w:val="30"/>
          <w:szCs w:val="30"/>
          <w:highlight w:val="none"/>
        </w:rPr>
        <w:t>聘任、解聘会计师事务所情况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报告期内，本公司续聘上会会计师事务所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担任公司按国内会计准则编制年度财务报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的审计机构。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财务报告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13.1审计意见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本公司202</w:t>
      </w:r>
      <w:r>
        <w:rPr>
          <w:rFonts w:hint="eastAsia"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已经上会会计师事务所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审计，并出具了标准无保留意见审计报告。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_GB2312" w:cs="Times New Roman"/>
          <w:sz w:val="30"/>
          <w:szCs w:val="30"/>
          <w:highlight w:val="none"/>
          <w:lang w:val="en-US" w:eastAsia="zh-CN"/>
        </w:rPr>
      </w:pPr>
      <w:r>
        <w:rPr>
          <w:rFonts w:hint="eastAsia" w:eastAsia="仿宋_GB2312" w:cs="Times New Roman"/>
          <w:sz w:val="30"/>
          <w:szCs w:val="30"/>
          <w:highlight w:val="none"/>
          <w:lang w:val="en-US" w:eastAsia="zh-CN"/>
        </w:rPr>
        <w:t xml:space="preserve">                          重庆北碚稠州村镇银行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eastAsia="仿宋_GB2312" w:cs="Times New Roman"/>
          <w:sz w:val="30"/>
          <w:szCs w:val="30"/>
          <w:highlight w:val="none"/>
          <w:lang w:val="en-US" w:eastAsia="zh-CN"/>
        </w:rPr>
      </w:pPr>
      <w:r>
        <w:rPr>
          <w:rFonts w:hint="eastAsia" w:eastAsia="仿宋_GB2312" w:cs="Times New Roman"/>
          <w:sz w:val="30"/>
          <w:szCs w:val="30"/>
          <w:highlight w:val="none"/>
          <w:lang w:val="en-US" w:eastAsia="zh-CN"/>
        </w:rPr>
        <w:t xml:space="preserve">                             2026年4月1日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6905F"/>
    <w:multiLevelType w:val="singleLevel"/>
    <w:tmpl w:val="E046905F"/>
    <w:lvl w:ilvl="0" w:tentative="0">
      <w:start w:val="6"/>
      <w:numFmt w:val="decimal"/>
      <w:suff w:val="nothing"/>
      <w:lvlText w:val="%1、"/>
      <w:lvlJc w:val="left"/>
    </w:lvl>
  </w:abstractNum>
  <w:abstractNum w:abstractNumId="1">
    <w:nsid w:val="6485DE6B"/>
    <w:multiLevelType w:val="singleLevel"/>
    <w:tmpl w:val="6485DE6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73E67"/>
    <w:rsid w:val="000050A6"/>
    <w:rsid w:val="00051A02"/>
    <w:rsid w:val="000919F6"/>
    <w:rsid w:val="000E6577"/>
    <w:rsid w:val="001120B3"/>
    <w:rsid w:val="00124D7E"/>
    <w:rsid w:val="00143FBC"/>
    <w:rsid w:val="001816E4"/>
    <w:rsid w:val="002A6F8D"/>
    <w:rsid w:val="002E543A"/>
    <w:rsid w:val="00333F09"/>
    <w:rsid w:val="00427C9A"/>
    <w:rsid w:val="004B3C8A"/>
    <w:rsid w:val="004F24A0"/>
    <w:rsid w:val="005126B3"/>
    <w:rsid w:val="00532A2C"/>
    <w:rsid w:val="0057022D"/>
    <w:rsid w:val="00644286"/>
    <w:rsid w:val="007E6B63"/>
    <w:rsid w:val="00815AFC"/>
    <w:rsid w:val="008322FF"/>
    <w:rsid w:val="008629C8"/>
    <w:rsid w:val="00871340"/>
    <w:rsid w:val="008D5DB3"/>
    <w:rsid w:val="009671E4"/>
    <w:rsid w:val="009A1B4D"/>
    <w:rsid w:val="009C0C90"/>
    <w:rsid w:val="009C2A91"/>
    <w:rsid w:val="00A62D76"/>
    <w:rsid w:val="00AE6C4C"/>
    <w:rsid w:val="00C669E2"/>
    <w:rsid w:val="00C8439E"/>
    <w:rsid w:val="00E72DA6"/>
    <w:rsid w:val="00ED00A0"/>
    <w:rsid w:val="00EF1737"/>
    <w:rsid w:val="00F51B73"/>
    <w:rsid w:val="00FA7F9F"/>
    <w:rsid w:val="00FC5FF7"/>
    <w:rsid w:val="01053DB2"/>
    <w:rsid w:val="010A044B"/>
    <w:rsid w:val="0110505C"/>
    <w:rsid w:val="011849B2"/>
    <w:rsid w:val="011D307F"/>
    <w:rsid w:val="011E6499"/>
    <w:rsid w:val="013F0538"/>
    <w:rsid w:val="01514986"/>
    <w:rsid w:val="015A42BF"/>
    <w:rsid w:val="0167572F"/>
    <w:rsid w:val="016D7219"/>
    <w:rsid w:val="01714C3E"/>
    <w:rsid w:val="01730DA4"/>
    <w:rsid w:val="017E76AE"/>
    <w:rsid w:val="01A15BD6"/>
    <w:rsid w:val="01AB2A08"/>
    <w:rsid w:val="01AF17B8"/>
    <w:rsid w:val="01B368C8"/>
    <w:rsid w:val="01B75752"/>
    <w:rsid w:val="01C348E8"/>
    <w:rsid w:val="01C92179"/>
    <w:rsid w:val="01CA2B52"/>
    <w:rsid w:val="01CF4CEA"/>
    <w:rsid w:val="01D02E5B"/>
    <w:rsid w:val="01E773D0"/>
    <w:rsid w:val="01E97E48"/>
    <w:rsid w:val="01EA46C8"/>
    <w:rsid w:val="01ED484B"/>
    <w:rsid w:val="01EF09DE"/>
    <w:rsid w:val="01EF37FC"/>
    <w:rsid w:val="01F35BF1"/>
    <w:rsid w:val="01F54BEA"/>
    <w:rsid w:val="01F670AD"/>
    <w:rsid w:val="01F7375C"/>
    <w:rsid w:val="020C4ECE"/>
    <w:rsid w:val="02191EA1"/>
    <w:rsid w:val="021E0788"/>
    <w:rsid w:val="022E3677"/>
    <w:rsid w:val="0231338F"/>
    <w:rsid w:val="023727D1"/>
    <w:rsid w:val="02390AC7"/>
    <w:rsid w:val="023F7F57"/>
    <w:rsid w:val="02444ECC"/>
    <w:rsid w:val="02450438"/>
    <w:rsid w:val="024A219A"/>
    <w:rsid w:val="024C3596"/>
    <w:rsid w:val="026C0181"/>
    <w:rsid w:val="0271159C"/>
    <w:rsid w:val="027A1EE7"/>
    <w:rsid w:val="02853B67"/>
    <w:rsid w:val="02906692"/>
    <w:rsid w:val="02907AD9"/>
    <w:rsid w:val="029925D6"/>
    <w:rsid w:val="029D74DF"/>
    <w:rsid w:val="02AC6DFF"/>
    <w:rsid w:val="02B25256"/>
    <w:rsid w:val="02B31D61"/>
    <w:rsid w:val="02C9104A"/>
    <w:rsid w:val="02CD0512"/>
    <w:rsid w:val="02D21941"/>
    <w:rsid w:val="02E67B65"/>
    <w:rsid w:val="02EB10F1"/>
    <w:rsid w:val="0308668B"/>
    <w:rsid w:val="0335636D"/>
    <w:rsid w:val="034626F6"/>
    <w:rsid w:val="034B5A57"/>
    <w:rsid w:val="034C5D55"/>
    <w:rsid w:val="0353680E"/>
    <w:rsid w:val="035A5D8D"/>
    <w:rsid w:val="03620A1D"/>
    <w:rsid w:val="03632E76"/>
    <w:rsid w:val="036F2E0A"/>
    <w:rsid w:val="03964825"/>
    <w:rsid w:val="039A0429"/>
    <w:rsid w:val="03A064A6"/>
    <w:rsid w:val="03A128E0"/>
    <w:rsid w:val="03A46152"/>
    <w:rsid w:val="03AC1C9B"/>
    <w:rsid w:val="03AE5768"/>
    <w:rsid w:val="03B90955"/>
    <w:rsid w:val="03BE5586"/>
    <w:rsid w:val="03C64E25"/>
    <w:rsid w:val="03CE3778"/>
    <w:rsid w:val="03D2565D"/>
    <w:rsid w:val="03D7644D"/>
    <w:rsid w:val="03E35BE9"/>
    <w:rsid w:val="03E7248A"/>
    <w:rsid w:val="03ED440D"/>
    <w:rsid w:val="03EF0425"/>
    <w:rsid w:val="03F17369"/>
    <w:rsid w:val="03F30427"/>
    <w:rsid w:val="040B2276"/>
    <w:rsid w:val="04126165"/>
    <w:rsid w:val="041421C6"/>
    <w:rsid w:val="04191F87"/>
    <w:rsid w:val="042909BD"/>
    <w:rsid w:val="0430052E"/>
    <w:rsid w:val="04301AF0"/>
    <w:rsid w:val="043031F6"/>
    <w:rsid w:val="04316E72"/>
    <w:rsid w:val="043349BF"/>
    <w:rsid w:val="043866B6"/>
    <w:rsid w:val="04433CE7"/>
    <w:rsid w:val="04632E60"/>
    <w:rsid w:val="04647E3A"/>
    <w:rsid w:val="046A1C72"/>
    <w:rsid w:val="04883CCA"/>
    <w:rsid w:val="048F2E48"/>
    <w:rsid w:val="04975852"/>
    <w:rsid w:val="04AF4550"/>
    <w:rsid w:val="04B127C7"/>
    <w:rsid w:val="04B701B5"/>
    <w:rsid w:val="04B94257"/>
    <w:rsid w:val="04C151AB"/>
    <w:rsid w:val="04CA37E7"/>
    <w:rsid w:val="04CC73B4"/>
    <w:rsid w:val="04D04135"/>
    <w:rsid w:val="04D13C8A"/>
    <w:rsid w:val="04D2142A"/>
    <w:rsid w:val="04D86F4E"/>
    <w:rsid w:val="04DE2C29"/>
    <w:rsid w:val="04E465F6"/>
    <w:rsid w:val="04E759DD"/>
    <w:rsid w:val="04EA7C7D"/>
    <w:rsid w:val="050B2C4D"/>
    <w:rsid w:val="05111324"/>
    <w:rsid w:val="0527181B"/>
    <w:rsid w:val="05274990"/>
    <w:rsid w:val="052A267F"/>
    <w:rsid w:val="05362446"/>
    <w:rsid w:val="05424660"/>
    <w:rsid w:val="0554166B"/>
    <w:rsid w:val="05557DA5"/>
    <w:rsid w:val="056566B1"/>
    <w:rsid w:val="057E59E1"/>
    <w:rsid w:val="058001A2"/>
    <w:rsid w:val="058833E1"/>
    <w:rsid w:val="058B55B5"/>
    <w:rsid w:val="0590331C"/>
    <w:rsid w:val="059D0FF7"/>
    <w:rsid w:val="05A10FB4"/>
    <w:rsid w:val="05A256A4"/>
    <w:rsid w:val="05AB3BA4"/>
    <w:rsid w:val="05AE174A"/>
    <w:rsid w:val="05B65FE4"/>
    <w:rsid w:val="05C57095"/>
    <w:rsid w:val="05DC252D"/>
    <w:rsid w:val="05E170C5"/>
    <w:rsid w:val="05E44489"/>
    <w:rsid w:val="05F1617F"/>
    <w:rsid w:val="05F62FAA"/>
    <w:rsid w:val="060025CF"/>
    <w:rsid w:val="0608407D"/>
    <w:rsid w:val="060E5AB2"/>
    <w:rsid w:val="061D2F2C"/>
    <w:rsid w:val="062C228F"/>
    <w:rsid w:val="062F37B7"/>
    <w:rsid w:val="06310F83"/>
    <w:rsid w:val="06317E8C"/>
    <w:rsid w:val="06322789"/>
    <w:rsid w:val="063C6C0D"/>
    <w:rsid w:val="063D244B"/>
    <w:rsid w:val="063F3FE4"/>
    <w:rsid w:val="06425380"/>
    <w:rsid w:val="06491F4E"/>
    <w:rsid w:val="064B1C97"/>
    <w:rsid w:val="06515C4C"/>
    <w:rsid w:val="0652400F"/>
    <w:rsid w:val="06582917"/>
    <w:rsid w:val="065A79E8"/>
    <w:rsid w:val="0665191E"/>
    <w:rsid w:val="06705D0A"/>
    <w:rsid w:val="06822B0F"/>
    <w:rsid w:val="06837729"/>
    <w:rsid w:val="06850738"/>
    <w:rsid w:val="06862CAD"/>
    <w:rsid w:val="068A1FA0"/>
    <w:rsid w:val="06A37AD5"/>
    <w:rsid w:val="06A83F06"/>
    <w:rsid w:val="06B861D3"/>
    <w:rsid w:val="06BF792F"/>
    <w:rsid w:val="06CD260B"/>
    <w:rsid w:val="06D002D3"/>
    <w:rsid w:val="06D647E0"/>
    <w:rsid w:val="06DE0BDC"/>
    <w:rsid w:val="06FC512C"/>
    <w:rsid w:val="070279F8"/>
    <w:rsid w:val="07112454"/>
    <w:rsid w:val="07207710"/>
    <w:rsid w:val="072708FD"/>
    <w:rsid w:val="0730495A"/>
    <w:rsid w:val="0734310B"/>
    <w:rsid w:val="07415E50"/>
    <w:rsid w:val="075646EA"/>
    <w:rsid w:val="07606C47"/>
    <w:rsid w:val="076A2CFF"/>
    <w:rsid w:val="077610F4"/>
    <w:rsid w:val="07807C29"/>
    <w:rsid w:val="079A58C0"/>
    <w:rsid w:val="07A52A56"/>
    <w:rsid w:val="07B51458"/>
    <w:rsid w:val="07B97D29"/>
    <w:rsid w:val="07C73493"/>
    <w:rsid w:val="07D04A4A"/>
    <w:rsid w:val="07D13149"/>
    <w:rsid w:val="07D51434"/>
    <w:rsid w:val="07D87A40"/>
    <w:rsid w:val="07DB275E"/>
    <w:rsid w:val="07DB6B12"/>
    <w:rsid w:val="07E018B6"/>
    <w:rsid w:val="07E670E9"/>
    <w:rsid w:val="07ED0F4C"/>
    <w:rsid w:val="07F61AC1"/>
    <w:rsid w:val="07FB1763"/>
    <w:rsid w:val="08063E27"/>
    <w:rsid w:val="080832CE"/>
    <w:rsid w:val="080A7CE7"/>
    <w:rsid w:val="080F3B8A"/>
    <w:rsid w:val="08113E7A"/>
    <w:rsid w:val="08120CF1"/>
    <w:rsid w:val="08166A9B"/>
    <w:rsid w:val="08290317"/>
    <w:rsid w:val="082B330B"/>
    <w:rsid w:val="083358E5"/>
    <w:rsid w:val="083856BE"/>
    <w:rsid w:val="083F3404"/>
    <w:rsid w:val="08461573"/>
    <w:rsid w:val="084829AE"/>
    <w:rsid w:val="084F03FC"/>
    <w:rsid w:val="085412DB"/>
    <w:rsid w:val="085F0522"/>
    <w:rsid w:val="08646946"/>
    <w:rsid w:val="086E0525"/>
    <w:rsid w:val="087D1192"/>
    <w:rsid w:val="08861435"/>
    <w:rsid w:val="088B369F"/>
    <w:rsid w:val="089018D4"/>
    <w:rsid w:val="08A81315"/>
    <w:rsid w:val="08AA35DF"/>
    <w:rsid w:val="08AD316E"/>
    <w:rsid w:val="08BD7372"/>
    <w:rsid w:val="08C5480E"/>
    <w:rsid w:val="08CD23C1"/>
    <w:rsid w:val="08D12680"/>
    <w:rsid w:val="08DD3A70"/>
    <w:rsid w:val="08E376A6"/>
    <w:rsid w:val="08EB0B36"/>
    <w:rsid w:val="08EB4AFF"/>
    <w:rsid w:val="08F154BC"/>
    <w:rsid w:val="08FE09E1"/>
    <w:rsid w:val="09056407"/>
    <w:rsid w:val="09102DD8"/>
    <w:rsid w:val="09170FFB"/>
    <w:rsid w:val="091B59B6"/>
    <w:rsid w:val="091E5409"/>
    <w:rsid w:val="09272D4E"/>
    <w:rsid w:val="092A395E"/>
    <w:rsid w:val="092E5B5E"/>
    <w:rsid w:val="092F708D"/>
    <w:rsid w:val="093A4F4E"/>
    <w:rsid w:val="093B1D14"/>
    <w:rsid w:val="093B685C"/>
    <w:rsid w:val="093E69C3"/>
    <w:rsid w:val="09485EC9"/>
    <w:rsid w:val="094D233D"/>
    <w:rsid w:val="094E03CD"/>
    <w:rsid w:val="0961271A"/>
    <w:rsid w:val="096178E8"/>
    <w:rsid w:val="096C4FEC"/>
    <w:rsid w:val="097359B3"/>
    <w:rsid w:val="097B6BC5"/>
    <w:rsid w:val="099665E2"/>
    <w:rsid w:val="09A348C3"/>
    <w:rsid w:val="09A87DB6"/>
    <w:rsid w:val="09B7580E"/>
    <w:rsid w:val="09C603F5"/>
    <w:rsid w:val="09CA07E9"/>
    <w:rsid w:val="09DD2489"/>
    <w:rsid w:val="09E311B4"/>
    <w:rsid w:val="09E74EB6"/>
    <w:rsid w:val="09FD6555"/>
    <w:rsid w:val="0A020827"/>
    <w:rsid w:val="0A1A00C1"/>
    <w:rsid w:val="0A26383C"/>
    <w:rsid w:val="0A292D48"/>
    <w:rsid w:val="0A310EF0"/>
    <w:rsid w:val="0A3D04D3"/>
    <w:rsid w:val="0A405EE4"/>
    <w:rsid w:val="0A5513A5"/>
    <w:rsid w:val="0A683A11"/>
    <w:rsid w:val="0A6B4944"/>
    <w:rsid w:val="0A6B795B"/>
    <w:rsid w:val="0A7E5AC6"/>
    <w:rsid w:val="0A7F5A4F"/>
    <w:rsid w:val="0A822C04"/>
    <w:rsid w:val="0A865ACC"/>
    <w:rsid w:val="0A8A6741"/>
    <w:rsid w:val="0A9B02BE"/>
    <w:rsid w:val="0A9E2F12"/>
    <w:rsid w:val="0AA963EE"/>
    <w:rsid w:val="0AAC130B"/>
    <w:rsid w:val="0AB71B9F"/>
    <w:rsid w:val="0ABD5B27"/>
    <w:rsid w:val="0AD30722"/>
    <w:rsid w:val="0AD715A6"/>
    <w:rsid w:val="0AD86B66"/>
    <w:rsid w:val="0ADB257F"/>
    <w:rsid w:val="0AE36C0B"/>
    <w:rsid w:val="0AF92487"/>
    <w:rsid w:val="0B017046"/>
    <w:rsid w:val="0B087794"/>
    <w:rsid w:val="0B1216A5"/>
    <w:rsid w:val="0B267D11"/>
    <w:rsid w:val="0B27695C"/>
    <w:rsid w:val="0B2E2017"/>
    <w:rsid w:val="0B4208EA"/>
    <w:rsid w:val="0B4A22D4"/>
    <w:rsid w:val="0B4B7F63"/>
    <w:rsid w:val="0B5B6FE5"/>
    <w:rsid w:val="0B5D0627"/>
    <w:rsid w:val="0B6655AE"/>
    <w:rsid w:val="0B6876A4"/>
    <w:rsid w:val="0B786CAC"/>
    <w:rsid w:val="0B952634"/>
    <w:rsid w:val="0BA23F11"/>
    <w:rsid w:val="0BA54FE3"/>
    <w:rsid w:val="0BAF176A"/>
    <w:rsid w:val="0BBB77CE"/>
    <w:rsid w:val="0BD8756F"/>
    <w:rsid w:val="0BD92037"/>
    <w:rsid w:val="0BD94BCF"/>
    <w:rsid w:val="0BE23A5A"/>
    <w:rsid w:val="0BE3682E"/>
    <w:rsid w:val="0BE5786A"/>
    <w:rsid w:val="0BE85812"/>
    <w:rsid w:val="0BF4453F"/>
    <w:rsid w:val="0C013C8A"/>
    <w:rsid w:val="0C040999"/>
    <w:rsid w:val="0C087A17"/>
    <w:rsid w:val="0C0C38B3"/>
    <w:rsid w:val="0C150AF6"/>
    <w:rsid w:val="0C1862A4"/>
    <w:rsid w:val="0C3F750E"/>
    <w:rsid w:val="0C3F76D9"/>
    <w:rsid w:val="0C48348A"/>
    <w:rsid w:val="0C5B740A"/>
    <w:rsid w:val="0C5E1387"/>
    <w:rsid w:val="0C5F7831"/>
    <w:rsid w:val="0C63012E"/>
    <w:rsid w:val="0C653B26"/>
    <w:rsid w:val="0C654B32"/>
    <w:rsid w:val="0C6A7181"/>
    <w:rsid w:val="0C6F5FA8"/>
    <w:rsid w:val="0C7A67AA"/>
    <w:rsid w:val="0C7D6192"/>
    <w:rsid w:val="0C8551FF"/>
    <w:rsid w:val="0C8F0BB0"/>
    <w:rsid w:val="0C9148F7"/>
    <w:rsid w:val="0C946A64"/>
    <w:rsid w:val="0C966CC6"/>
    <w:rsid w:val="0CA52C42"/>
    <w:rsid w:val="0CAB6920"/>
    <w:rsid w:val="0CAD3F54"/>
    <w:rsid w:val="0CB2026D"/>
    <w:rsid w:val="0CB55B63"/>
    <w:rsid w:val="0CB5776F"/>
    <w:rsid w:val="0CC473E7"/>
    <w:rsid w:val="0CC67703"/>
    <w:rsid w:val="0CC960FE"/>
    <w:rsid w:val="0CD06022"/>
    <w:rsid w:val="0CE0792F"/>
    <w:rsid w:val="0CE53A43"/>
    <w:rsid w:val="0CE611D7"/>
    <w:rsid w:val="0CF04417"/>
    <w:rsid w:val="0CF939F2"/>
    <w:rsid w:val="0CFB5E78"/>
    <w:rsid w:val="0CFF583A"/>
    <w:rsid w:val="0D16673E"/>
    <w:rsid w:val="0D1E6705"/>
    <w:rsid w:val="0D286016"/>
    <w:rsid w:val="0D3267F6"/>
    <w:rsid w:val="0D344396"/>
    <w:rsid w:val="0D403BBD"/>
    <w:rsid w:val="0D4407FA"/>
    <w:rsid w:val="0D457FC9"/>
    <w:rsid w:val="0D503A1A"/>
    <w:rsid w:val="0D5764C6"/>
    <w:rsid w:val="0D6F1981"/>
    <w:rsid w:val="0D7357B4"/>
    <w:rsid w:val="0D7474FA"/>
    <w:rsid w:val="0D871B52"/>
    <w:rsid w:val="0D896513"/>
    <w:rsid w:val="0DA87A1A"/>
    <w:rsid w:val="0DAB5015"/>
    <w:rsid w:val="0DC372FD"/>
    <w:rsid w:val="0DC51334"/>
    <w:rsid w:val="0DC96CB9"/>
    <w:rsid w:val="0DCE379D"/>
    <w:rsid w:val="0DCF1F3D"/>
    <w:rsid w:val="0DD265D5"/>
    <w:rsid w:val="0DD656B9"/>
    <w:rsid w:val="0DD70128"/>
    <w:rsid w:val="0DDA2E2A"/>
    <w:rsid w:val="0DDC2207"/>
    <w:rsid w:val="0DDD79CF"/>
    <w:rsid w:val="0DEC2B96"/>
    <w:rsid w:val="0DFC5025"/>
    <w:rsid w:val="0DFD240A"/>
    <w:rsid w:val="0DFD5D49"/>
    <w:rsid w:val="0E0E048C"/>
    <w:rsid w:val="0E1E0C9F"/>
    <w:rsid w:val="0E2005E0"/>
    <w:rsid w:val="0E2232D9"/>
    <w:rsid w:val="0E2827FB"/>
    <w:rsid w:val="0E306A2F"/>
    <w:rsid w:val="0E3732EB"/>
    <w:rsid w:val="0E3F52D4"/>
    <w:rsid w:val="0E47230A"/>
    <w:rsid w:val="0E473E67"/>
    <w:rsid w:val="0E4C51A4"/>
    <w:rsid w:val="0E4D6788"/>
    <w:rsid w:val="0E4F7B9F"/>
    <w:rsid w:val="0E5B6577"/>
    <w:rsid w:val="0E632CC5"/>
    <w:rsid w:val="0E685286"/>
    <w:rsid w:val="0E695AF1"/>
    <w:rsid w:val="0E9777D1"/>
    <w:rsid w:val="0EA26BFD"/>
    <w:rsid w:val="0EC06D2F"/>
    <w:rsid w:val="0EC147D9"/>
    <w:rsid w:val="0ECD66DA"/>
    <w:rsid w:val="0ED256F5"/>
    <w:rsid w:val="0EDB38F0"/>
    <w:rsid w:val="0EE46FAF"/>
    <w:rsid w:val="0EE94CBE"/>
    <w:rsid w:val="0EF434E2"/>
    <w:rsid w:val="0EF9670F"/>
    <w:rsid w:val="0EFE3B15"/>
    <w:rsid w:val="0F0424A3"/>
    <w:rsid w:val="0F06589C"/>
    <w:rsid w:val="0F0C2B69"/>
    <w:rsid w:val="0F1C13FC"/>
    <w:rsid w:val="0F227782"/>
    <w:rsid w:val="0F2477E9"/>
    <w:rsid w:val="0F31741F"/>
    <w:rsid w:val="0F3229DA"/>
    <w:rsid w:val="0F3A1AEA"/>
    <w:rsid w:val="0F567373"/>
    <w:rsid w:val="0F5B011F"/>
    <w:rsid w:val="0F6432CF"/>
    <w:rsid w:val="0F6C0DB6"/>
    <w:rsid w:val="0F6C239E"/>
    <w:rsid w:val="0F715ED1"/>
    <w:rsid w:val="0F7A2032"/>
    <w:rsid w:val="0F8263F2"/>
    <w:rsid w:val="0F8512FA"/>
    <w:rsid w:val="0FB11FFB"/>
    <w:rsid w:val="0FB27C98"/>
    <w:rsid w:val="0FBE427C"/>
    <w:rsid w:val="0FCB5110"/>
    <w:rsid w:val="0FD435E2"/>
    <w:rsid w:val="0FDF474C"/>
    <w:rsid w:val="0FEA7EE4"/>
    <w:rsid w:val="0FF469BF"/>
    <w:rsid w:val="0FFB3360"/>
    <w:rsid w:val="0FFB733B"/>
    <w:rsid w:val="10016B47"/>
    <w:rsid w:val="100771D3"/>
    <w:rsid w:val="10082F9A"/>
    <w:rsid w:val="10166366"/>
    <w:rsid w:val="102B1A94"/>
    <w:rsid w:val="103343C3"/>
    <w:rsid w:val="10351C1C"/>
    <w:rsid w:val="1039095A"/>
    <w:rsid w:val="1047476D"/>
    <w:rsid w:val="10487EB5"/>
    <w:rsid w:val="10531812"/>
    <w:rsid w:val="10551051"/>
    <w:rsid w:val="105665BA"/>
    <w:rsid w:val="105C4799"/>
    <w:rsid w:val="1068674C"/>
    <w:rsid w:val="106A6F24"/>
    <w:rsid w:val="106C00DF"/>
    <w:rsid w:val="106F2741"/>
    <w:rsid w:val="107101BC"/>
    <w:rsid w:val="107E0B40"/>
    <w:rsid w:val="10842E91"/>
    <w:rsid w:val="10896929"/>
    <w:rsid w:val="10B65C50"/>
    <w:rsid w:val="10B9233C"/>
    <w:rsid w:val="10C129CB"/>
    <w:rsid w:val="10C45A29"/>
    <w:rsid w:val="10CD3428"/>
    <w:rsid w:val="10D02F04"/>
    <w:rsid w:val="10DD4C2D"/>
    <w:rsid w:val="10F87986"/>
    <w:rsid w:val="110B3B65"/>
    <w:rsid w:val="11141F3A"/>
    <w:rsid w:val="11204FF0"/>
    <w:rsid w:val="11235CAF"/>
    <w:rsid w:val="1135311E"/>
    <w:rsid w:val="1135644B"/>
    <w:rsid w:val="11377E30"/>
    <w:rsid w:val="113D012D"/>
    <w:rsid w:val="11436D77"/>
    <w:rsid w:val="1143741D"/>
    <w:rsid w:val="114B111F"/>
    <w:rsid w:val="11545DB3"/>
    <w:rsid w:val="1159290E"/>
    <w:rsid w:val="115A0DBA"/>
    <w:rsid w:val="115B4901"/>
    <w:rsid w:val="115C64BB"/>
    <w:rsid w:val="116940BB"/>
    <w:rsid w:val="1176010B"/>
    <w:rsid w:val="1180001C"/>
    <w:rsid w:val="118C24C5"/>
    <w:rsid w:val="119C3FF9"/>
    <w:rsid w:val="11B066B5"/>
    <w:rsid w:val="11B61AA2"/>
    <w:rsid w:val="11BC539E"/>
    <w:rsid w:val="11BD7540"/>
    <w:rsid w:val="11C02458"/>
    <w:rsid w:val="11C17AE3"/>
    <w:rsid w:val="11DA7407"/>
    <w:rsid w:val="11EB3CEA"/>
    <w:rsid w:val="11F147EA"/>
    <w:rsid w:val="11F20095"/>
    <w:rsid w:val="11F755BB"/>
    <w:rsid w:val="11F75C05"/>
    <w:rsid w:val="120B35ED"/>
    <w:rsid w:val="1212231A"/>
    <w:rsid w:val="12225340"/>
    <w:rsid w:val="122D52DA"/>
    <w:rsid w:val="123A7862"/>
    <w:rsid w:val="12403D7E"/>
    <w:rsid w:val="1242612C"/>
    <w:rsid w:val="12500CD3"/>
    <w:rsid w:val="1255064D"/>
    <w:rsid w:val="125F11FB"/>
    <w:rsid w:val="12640D32"/>
    <w:rsid w:val="126D7689"/>
    <w:rsid w:val="126E70FD"/>
    <w:rsid w:val="12706E95"/>
    <w:rsid w:val="12740F77"/>
    <w:rsid w:val="12775E3E"/>
    <w:rsid w:val="1278278F"/>
    <w:rsid w:val="128010A7"/>
    <w:rsid w:val="12802914"/>
    <w:rsid w:val="12842241"/>
    <w:rsid w:val="12883FB4"/>
    <w:rsid w:val="128B5323"/>
    <w:rsid w:val="128C1652"/>
    <w:rsid w:val="128D6B8F"/>
    <w:rsid w:val="129B51F5"/>
    <w:rsid w:val="129D0868"/>
    <w:rsid w:val="12AA08F3"/>
    <w:rsid w:val="12AC2CA8"/>
    <w:rsid w:val="12AC7BFA"/>
    <w:rsid w:val="12AD2E32"/>
    <w:rsid w:val="12B062E3"/>
    <w:rsid w:val="12BA53A7"/>
    <w:rsid w:val="12C829E7"/>
    <w:rsid w:val="12DC594F"/>
    <w:rsid w:val="12DD776E"/>
    <w:rsid w:val="12E14EED"/>
    <w:rsid w:val="12E27EDA"/>
    <w:rsid w:val="12EB619F"/>
    <w:rsid w:val="12F508E6"/>
    <w:rsid w:val="13055C8F"/>
    <w:rsid w:val="130F4B88"/>
    <w:rsid w:val="131308DE"/>
    <w:rsid w:val="13160616"/>
    <w:rsid w:val="131E1B25"/>
    <w:rsid w:val="13224882"/>
    <w:rsid w:val="1325157E"/>
    <w:rsid w:val="134B2661"/>
    <w:rsid w:val="13535630"/>
    <w:rsid w:val="1354593A"/>
    <w:rsid w:val="136A4128"/>
    <w:rsid w:val="136A51FB"/>
    <w:rsid w:val="13810AB1"/>
    <w:rsid w:val="13844E73"/>
    <w:rsid w:val="138809EC"/>
    <w:rsid w:val="13887C1F"/>
    <w:rsid w:val="139417C6"/>
    <w:rsid w:val="13A810D3"/>
    <w:rsid w:val="13B02E47"/>
    <w:rsid w:val="13B23EA9"/>
    <w:rsid w:val="13B8185E"/>
    <w:rsid w:val="13BC25D7"/>
    <w:rsid w:val="13CA476F"/>
    <w:rsid w:val="13DC2BA2"/>
    <w:rsid w:val="13E71F1F"/>
    <w:rsid w:val="13EE7BE3"/>
    <w:rsid w:val="13F123E9"/>
    <w:rsid w:val="13F43A8C"/>
    <w:rsid w:val="13F93418"/>
    <w:rsid w:val="13F93B15"/>
    <w:rsid w:val="14081515"/>
    <w:rsid w:val="141A61DF"/>
    <w:rsid w:val="14224D78"/>
    <w:rsid w:val="14327D9C"/>
    <w:rsid w:val="14451269"/>
    <w:rsid w:val="144E6739"/>
    <w:rsid w:val="145727FF"/>
    <w:rsid w:val="14635FC7"/>
    <w:rsid w:val="146C0995"/>
    <w:rsid w:val="146C7E13"/>
    <w:rsid w:val="146D5390"/>
    <w:rsid w:val="146D7B20"/>
    <w:rsid w:val="147D3F44"/>
    <w:rsid w:val="14813D24"/>
    <w:rsid w:val="148E5C85"/>
    <w:rsid w:val="14901964"/>
    <w:rsid w:val="1494748D"/>
    <w:rsid w:val="14A75A96"/>
    <w:rsid w:val="14B0364D"/>
    <w:rsid w:val="14B1733B"/>
    <w:rsid w:val="14BC3557"/>
    <w:rsid w:val="14BD0435"/>
    <w:rsid w:val="14DD3401"/>
    <w:rsid w:val="14DE155F"/>
    <w:rsid w:val="14E869E6"/>
    <w:rsid w:val="14F66D6B"/>
    <w:rsid w:val="150135D3"/>
    <w:rsid w:val="151130A3"/>
    <w:rsid w:val="1514485C"/>
    <w:rsid w:val="15165650"/>
    <w:rsid w:val="1519604C"/>
    <w:rsid w:val="15280E5B"/>
    <w:rsid w:val="15342CFC"/>
    <w:rsid w:val="153B3374"/>
    <w:rsid w:val="154319A1"/>
    <w:rsid w:val="154417B7"/>
    <w:rsid w:val="154B3EBF"/>
    <w:rsid w:val="154F2FD7"/>
    <w:rsid w:val="15587310"/>
    <w:rsid w:val="15590C76"/>
    <w:rsid w:val="15645DCB"/>
    <w:rsid w:val="156F57FD"/>
    <w:rsid w:val="157E335E"/>
    <w:rsid w:val="15810B79"/>
    <w:rsid w:val="158245E9"/>
    <w:rsid w:val="158C79CD"/>
    <w:rsid w:val="158E4344"/>
    <w:rsid w:val="159A3B00"/>
    <w:rsid w:val="15A46521"/>
    <w:rsid w:val="15B034AA"/>
    <w:rsid w:val="15C37BF1"/>
    <w:rsid w:val="15CA66F5"/>
    <w:rsid w:val="15CF1C6F"/>
    <w:rsid w:val="15D55FF2"/>
    <w:rsid w:val="15D80983"/>
    <w:rsid w:val="15DB34EE"/>
    <w:rsid w:val="15E714A4"/>
    <w:rsid w:val="15FA163C"/>
    <w:rsid w:val="160155B9"/>
    <w:rsid w:val="1603179D"/>
    <w:rsid w:val="1604693C"/>
    <w:rsid w:val="161E4534"/>
    <w:rsid w:val="1621645B"/>
    <w:rsid w:val="16246C77"/>
    <w:rsid w:val="162B4503"/>
    <w:rsid w:val="162C6931"/>
    <w:rsid w:val="162E532D"/>
    <w:rsid w:val="162F3898"/>
    <w:rsid w:val="1630453F"/>
    <w:rsid w:val="16342031"/>
    <w:rsid w:val="163C28CF"/>
    <w:rsid w:val="16464D5A"/>
    <w:rsid w:val="16512557"/>
    <w:rsid w:val="16554D92"/>
    <w:rsid w:val="16591DDE"/>
    <w:rsid w:val="165F4CD5"/>
    <w:rsid w:val="166400A2"/>
    <w:rsid w:val="166850D0"/>
    <w:rsid w:val="166D6A17"/>
    <w:rsid w:val="1672719E"/>
    <w:rsid w:val="16785EAE"/>
    <w:rsid w:val="167D56C7"/>
    <w:rsid w:val="167D5ABA"/>
    <w:rsid w:val="168200D7"/>
    <w:rsid w:val="168C1F86"/>
    <w:rsid w:val="168D7800"/>
    <w:rsid w:val="168E7CF6"/>
    <w:rsid w:val="16903AC0"/>
    <w:rsid w:val="1691731B"/>
    <w:rsid w:val="169A03F9"/>
    <w:rsid w:val="169B5870"/>
    <w:rsid w:val="16A277DC"/>
    <w:rsid w:val="16B806F8"/>
    <w:rsid w:val="16D16A29"/>
    <w:rsid w:val="16DB6AA3"/>
    <w:rsid w:val="16ED76A5"/>
    <w:rsid w:val="16EF0D8D"/>
    <w:rsid w:val="16F27580"/>
    <w:rsid w:val="16FA71C6"/>
    <w:rsid w:val="16FD7033"/>
    <w:rsid w:val="17011EF9"/>
    <w:rsid w:val="170A3CDA"/>
    <w:rsid w:val="17101103"/>
    <w:rsid w:val="171272DE"/>
    <w:rsid w:val="171A1826"/>
    <w:rsid w:val="171A51DC"/>
    <w:rsid w:val="172027BB"/>
    <w:rsid w:val="17244A33"/>
    <w:rsid w:val="17272BD4"/>
    <w:rsid w:val="1728204E"/>
    <w:rsid w:val="1729737E"/>
    <w:rsid w:val="172A2442"/>
    <w:rsid w:val="172D036F"/>
    <w:rsid w:val="173021B7"/>
    <w:rsid w:val="1738176F"/>
    <w:rsid w:val="17393156"/>
    <w:rsid w:val="17397461"/>
    <w:rsid w:val="173B704C"/>
    <w:rsid w:val="17596D16"/>
    <w:rsid w:val="175A4729"/>
    <w:rsid w:val="175A7BC3"/>
    <w:rsid w:val="17626A9F"/>
    <w:rsid w:val="17655CEE"/>
    <w:rsid w:val="17733282"/>
    <w:rsid w:val="17740508"/>
    <w:rsid w:val="1774726C"/>
    <w:rsid w:val="177614D1"/>
    <w:rsid w:val="17937409"/>
    <w:rsid w:val="179C2BD8"/>
    <w:rsid w:val="17A15B70"/>
    <w:rsid w:val="17A45263"/>
    <w:rsid w:val="17A468FC"/>
    <w:rsid w:val="17AE4394"/>
    <w:rsid w:val="17B17F2C"/>
    <w:rsid w:val="17BA7205"/>
    <w:rsid w:val="17D2268C"/>
    <w:rsid w:val="17DB3FDF"/>
    <w:rsid w:val="17EC58F6"/>
    <w:rsid w:val="17F52A70"/>
    <w:rsid w:val="17F71029"/>
    <w:rsid w:val="17FF30DC"/>
    <w:rsid w:val="18075F80"/>
    <w:rsid w:val="18090C98"/>
    <w:rsid w:val="1819192A"/>
    <w:rsid w:val="181E52AF"/>
    <w:rsid w:val="182A0E32"/>
    <w:rsid w:val="18372864"/>
    <w:rsid w:val="18375BEB"/>
    <w:rsid w:val="183E79E7"/>
    <w:rsid w:val="18444BEA"/>
    <w:rsid w:val="18462D45"/>
    <w:rsid w:val="18463752"/>
    <w:rsid w:val="184D14B0"/>
    <w:rsid w:val="1856510B"/>
    <w:rsid w:val="18591805"/>
    <w:rsid w:val="185E3566"/>
    <w:rsid w:val="18683D45"/>
    <w:rsid w:val="18691D74"/>
    <w:rsid w:val="186A6EB4"/>
    <w:rsid w:val="1876562B"/>
    <w:rsid w:val="187D40DC"/>
    <w:rsid w:val="188C4D37"/>
    <w:rsid w:val="189004AB"/>
    <w:rsid w:val="18905D94"/>
    <w:rsid w:val="189602D2"/>
    <w:rsid w:val="189A7603"/>
    <w:rsid w:val="18AA35B2"/>
    <w:rsid w:val="18B91335"/>
    <w:rsid w:val="18C06C2B"/>
    <w:rsid w:val="18C2111B"/>
    <w:rsid w:val="18C269E9"/>
    <w:rsid w:val="18DB39CC"/>
    <w:rsid w:val="19157A96"/>
    <w:rsid w:val="191E230D"/>
    <w:rsid w:val="19282D1B"/>
    <w:rsid w:val="193A4776"/>
    <w:rsid w:val="194608FF"/>
    <w:rsid w:val="19494920"/>
    <w:rsid w:val="19624E04"/>
    <w:rsid w:val="19634499"/>
    <w:rsid w:val="19702A86"/>
    <w:rsid w:val="1974051C"/>
    <w:rsid w:val="19791568"/>
    <w:rsid w:val="19846404"/>
    <w:rsid w:val="199938B9"/>
    <w:rsid w:val="19A01782"/>
    <w:rsid w:val="19AB0D02"/>
    <w:rsid w:val="19BD759F"/>
    <w:rsid w:val="19C15467"/>
    <w:rsid w:val="19C36DDA"/>
    <w:rsid w:val="19C622DC"/>
    <w:rsid w:val="19CA46C7"/>
    <w:rsid w:val="19D76617"/>
    <w:rsid w:val="19E2199F"/>
    <w:rsid w:val="19E3117C"/>
    <w:rsid w:val="19E47042"/>
    <w:rsid w:val="19E66B62"/>
    <w:rsid w:val="19EE7B87"/>
    <w:rsid w:val="19F203A6"/>
    <w:rsid w:val="19F47108"/>
    <w:rsid w:val="19F5495D"/>
    <w:rsid w:val="19F71DD3"/>
    <w:rsid w:val="19F767E3"/>
    <w:rsid w:val="1A0D2073"/>
    <w:rsid w:val="1A184D38"/>
    <w:rsid w:val="1A37648F"/>
    <w:rsid w:val="1A395CFF"/>
    <w:rsid w:val="1A416849"/>
    <w:rsid w:val="1A440B02"/>
    <w:rsid w:val="1A454418"/>
    <w:rsid w:val="1A4700BF"/>
    <w:rsid w:val="1A5E61B3"/>
    <w:rsid w:val="1A634312"/>
    <w:rsid w:val="1A68007A"/>
    <w:rsid w:val="1A7C5614"/>
    <w:rsid w:val="1A7D4D4C"/>
    <w:rsid w:val="1A885859"/>
    <w:rsid w:val="1A8F2242"/>
    <w:rsid w:val="1A991237"/>
    <w:rsid w:val="1A9E0909"/>
    <w:rsid w:val="1AA55036"/>
    <w:rsid w:val="1AAF6ED9"/>
    <w:rsid w:val="1AB17FBE"/>
    <w:rsid w:val="1ABC5240"/>
    <w:rsid w:val="1ABE4106"/>
    <w:rsid w:val="1AC32E7A"/>
    <w:rsid w:val="1ACD3D28"/>
    <w:rsid w:val="1ACE65B3"/>
    <w:rsid w:val="1AD76213"/>
    <w:rsid w:val="1ADC2E66"/>
    <w:rsid w:val="1ADE4F64"/>
    <w:rsid w:val="1AE72918"/>
    <w:rsid w:val="1AF24809"/>
    <w:rsid w:val="1AF60C36"/>
    <w:rsid w:val="1AF60FCB"/>
    <w:rsid w:val="1AF828D7"/>
    <w:rsid w:val="1B025058"/>
    <w:rsid w:val="1B0613E1"/>
    <w:rsid w:val="1B150266"/>
    <w:rsid w:val="1B242B3F"/>
    <w:rsid w:val="1B272708"/>
    <w:rsid w:val="1B2A15E0"/>
    <w:rsid w:val="1B2C2671"/>
    <w:rsid w:val="1B37724E"/>
    <w:rsid w:val="1B3C7ABB"/>
    <w:rsid w:val="1B400916"/>
    <w:rsid w:val="1B417455"/>
    <w:rsid w:val="1B6847DD"/>
    <w:rsid w:val="1B7016B1"/>
    <w:rsid w:val="1B730202"/>
    <w:rsid w:val="1B784D6C"/>
    <w:rsid w:val="1B793CE9"/>
    <w:rsid w:val="1B8528E0"/>
    <w:rsid w:val="1B8C4D5C"/>
    <w:rsid w:val="1B8E6609"/>
    <w:rsid w:val="1B9D1A07"/>
    <w:rsid w:val="1B9E3554"/>
    <w:rsid w:val="1BA6153B"/>
    <w:rsid w:val="1BA72FA2"/>
    <w:rsid w:val="1BB5368A"/>
    <w:rsid w:val="1BBF418B"/>
    <w:rsid w:val="1BC072DB"/>
    <w:rsid w:val="1BDE60D5"/>
    <w:rsid w:val="1BE93920"/>
    <w:rsid w:val="1BF96262"/>
    <w:rsid w:val="1C026FB3"/>
    <w:rsid w:val="1C07130E"/>
    <w:rsid w:val="1C127D0A"/>
    <w:rsid w:val="1C14048C"/>
    <w:rsid w:val="1C2503BF"/>
    <w:rsid w:val="1C2F2381"/>
    <w:rsid w:val="1C3C4434"/>
    <w:rsid w:val="1C423992"/>
    <w:rsid w:val="1C4900E3"/>
    <w:rsid w:val="1C5539DC"/>
    <w:rsid w:val="1C5B2298"/>
    <w:rsid w:val="1C5C6548"/>
    <w:rsid w:val="1C646E50"/>
    <w:rsid w:val="1C792541"/>
    <w:rsid w:val="1C8E0F8A"/>
    <w:rsid w:val="1CA922B8"/>
    <w:rsid w:val="1CA9707F"/>
    <w:rsid w:val="1CAB0A27"/>
    <w:rsid w:val="1CAF45AE"/>
    <w:rsid w:val="1CB90A89"/>
    <w:rsid w:val="1CBF0A4A"/>
    <w:rsid w:val="1CCD040E"/>
    <w:rsid w:val="1CD03E3F"/>
    <w:rsid w:val="1CD07C24"/>
    <w:rsid w:val="1CD54090"/>
    <w:rsid w:val="1CD759CE"/>
    <w:rsid w:val="1CDA45D0"/>
    <w:rsid w:val="1CF05C11"/>
    <w:rsid w:val="1D105193"/>
    <w:rsid w:val="1D213C3B"/>
    <w:rsid w:val="1D3201AE"/>
    <w:rsid w:val="1D4114F8"/>
    <w:rsid w:val="1D444755"/>
    <w:rsid w:val="1D44644B"/>
    <w:rsid w:val="1D461CCC"/>
    <w:rsid w:val="1D4D33F4"/>
    <w:rsid w:val="1D4F16B4"/>
    <w:rsid w:val="1D524637"/>
    <w:rsid w:val="1D56065D"/>
    <w:rsid w:val="1D5663DD"/>
    <w:rsid w:val="1D630517"/>
    <w:rsid w:val="1D7A3652"/>
    <w:rsid w:val="1D7B5070"/>
    <w:rsid w:val="1D9D1AE6"/>
    <w:rsid w:val="1DA13895"/>
    <w:rsid w:val="1DAE1331"/>
    <w:rsid w:val="1DBB25CC"/>
    <w:rsid w:val="1DBB7525"/>
    <w:rsid w:val="1DCF5A5A"/>
    <w:rsid w:val="1DE420DE"/>
    <w:rsid w:val="1DF3057C"/>
    <w:rsid w:val="1DF37992"/>
    <w:rsid w:val="1DFB0BA7"/>
    <w:rsid w:val="1E0875D5"/>
    <w:rsid w:val="1E1D21A3"/>
    <w:rsid w:val="1E1F157A"/>
    <w:rsid w:val="1E204728"/>
    <w:rsid w:val="1E231FDF"/>
    <w:rsid w:val="1E2E5C28"/>
    <w:rsid w:val="1E331146"/>
    <w:rsid w:val="1E3D1BE1"/>
    <w:rsid w:val="1E460AB8"/>
    <w:rsid w:val="1E477FC1"/>
    <w:rsid w:val="1E493237"/>
    <w:rsid w:val="1E494E87"/>
    <w:rsid w:val="1E4B127E"/>
    <w:rsid w:val="1E5C4EF0"/>
    <w:rsid w:val="1E5E5082"/>
    <w:rsid w:val="1E6106FE"/>
    <w:rsid w:val="1E63756A"/>
    <w:rsid w:val="1E643DE5"/>
    <w:rsid w:val="1E694BC4"/>
    <w:rsid w:val="1E6D573B"/>
    <w:rsid w:val="1E6E73D3"/>
    <w:rsid w:val="1E7229E4"/>
    <w:rsid w:val="1E787CCC"/>
    <w:rsid w:val="1E7B034A"/>
    <w:rsid w:val="1E7B1720"/>
    <w:rsid w:val="1E8F4D49"/>
    <w:rsid w:val="1E9D1F35"/>
    <w:rsid w:val="1E9D27F7"/>
    <w:rsid w:val="1E9E02C5"/>
    <w:rsid w:val="1EB27A60"/>
    <w:rsid w:val="1EB71AFD"/>
    <w:rsid w:val="1EC11CBE"/>
    <w:rsid w:val="1ED76EE9"/>
    <w:rsid w:val="1F037BB2"/>
    <w:rsid w:val="1F051DF4"/>
    <w:rsid w:val="1F121D73"/>
    <w:rsid w:val="1F1A2095"/>
    <w:rsid w:val="1F1C4A14"/>
    <w:rsid w:val="1F2A42AC"/>
    <w:rsid w:val="1F2A66C3"/>
    <w:rsid w:val="1F2C0745"/>
    <w:rsid w:val="1F2F5D36"/>
    <w:rsid w:val="1F437C7D"/>
    <w:rsid w:val="1F45619F"/>
    <w:rsid w:val="1F51524D"/>
    <w:rsid w:val="1F567822"/>
    <w:rsid w:val="1F5A3543"/>
    <w:rsid w:val="1F6B3656"/>
    <w:rsid w:val="1F885B68"/>
    <w:rsid w:val="1F946160"/>
    <w:rsid w:val="1FAA0F94"/>
    <w:rsid w:val="1FC93E1D"/>
    <w:rsid w:val="1FD15073"/>
    <w:rsid w:val="1FDC4FC2"/>
    <w:rsid w:val="1FE14BF2"/>
    <w:rsid w:val="1FE96875"/>
    <w:rsid w:val="1FF331B3"/>
    <w:rsid w:val="20015F3A"/>
    <w:rsid w:val="20016280"/>
    <w:rsid w:val="200A2E2D"/>
    <w:rsid w:val="2016572F"/>
    <w:rsid w:val="20173973"/>
    <w:rsid w:val="20183F0F"/>
    <w:rsid w:val="201A7D15"/>
    <w:rsid w:val="201E47A8"/>
    <w:rsid w:val="202F44B6"/>
    <w:rsid w:val="20345F47"/>
    <w:rsid w:val="20373A3F"/>
    <w:rsid w:val="20377C48"/>
    <w:rsid w:val="203A5ADD"/>
    <w:rsid w:val="203F46DA"/>
    <w:rsid w:val="20506B63"/>
    <w:rsid w:val="20525015"/>
    <w:rsid w:val="20597A56"/>
    <w:rsid w:val="205E527E"/>
    <w:rsid w:val="206F522B"/>
    <w:rsid w:val="2083371E"/>
    <w:rsid w:val="208F4D31"/>
    <w:rsid w:val="20A576F9"/>
    <w:rsid w:val="20A877EF"/>
    <w:rsid w:val="20B22B7D"/>
    <w:rsid w:val="20B3443D"/>
    <w:rsid w:val="20B47001"/>
    <w:rsid w:val="20B63B6C"/>
    <w:rsid w:val="20B8109B"/>
    <w:rsid w:val="20BD2532"/>
    <w:rsid w:val="20D56821"/>
    <w:rsid w:val="20DE29FD"/>
    <w:rsid w:val="20E81D67"/>
    <w:rsid w:val="20FB159D"/>
    <w:rsid w:val="20FE2235"/>
    <w:rsid w:val="20FF6A9A"/>
    <w:rsid w:val="21083BC2"/>
    <w:rsid w:val="211922BB"/>
    <w:rsid w:val="213E4872"/>
    <w:rsid w:val="21430611"/>
    <w:rsid w:val="21437D9E"/>
    <w:rsid w:val="21446E92"/>
    <w:rsid w:val="214621E3"/>
    <w:rsid w:val="215660CC"/>
    <w:rsid w:val="216D3CE9"/>
    <w:rsid w:val="21794A94"/>
    <w:rsid w:val="21842D94"/>
    <w:rsid w:val="21A32B19"/>
    <w:rsid w:val="21AD272C"/>
    <w:rsid w:val="21B17741"/>
    <w:rsid w:val="21B6475C"/>
    <w:rsid w:val="21BA6D6D"/>
    <w:rsid w:val="21C36D27"/>
    <w:rsid w:val="21D669E7"/>
    <w:rsid w:val="21DF0B49"/>
    <w:rsid w:val="21EA77D6"/>
    <w:rsid w:val="21F63C62"/>
    <w:rsid w:val="21FC1E35"/>
    <w:rsid w:val="21FE7D0C"/>
    <w:rsid w:val="220E6753"/>
    <w:rsid w:val="221C0772"/>
    <w:rsid w:val="221E0053"/>
    <w:rsid w:val="22264B96"/>
    <w:rsid w:val="22265D9A"/>
    <w:rsid w:val="223F5C06"/>
    <w:rsid w:val="224E6DC3"/>
    <w:rsid w:val="226730C0"/>
    <w:rsid w:val="226C52AF"/>
    <w:rsid w:val="227B36F8"/>
    <w:rsid w:val="227F6FF1"/>
    <w:rsid w:val="22907339"/>
    <w:rsid w:val="22AF0D77"/>
    <w:rsid w:val="22B2007B"/>
    <w:rsid w:val="22B95705"/>
    <w:rsid w:val="22CB72D1"/>
    <w:rsid w:val="22E178ED"/>
    <w:rsid w:val="22E22A4D"/>
    <w:rsid w:val="22ED6462"/>
    <w:rsid w:val="22F348CD"/>
    <w:rsid w:val="22F45FCF"/>
    <w:rsid w:val="22FC06A5"/>
    <w:rsid w:val="22FF7761"/>
    <w:rsid w:val="23020FDB"/>
    <w:rsid w:val="230E06A4"/>
    <w:rsid w:val="231C3441"/>
    <w:rsid w:val="23293EB6"/>
    <w:rsid w:val="232F3849"/>
    <w:rsid w:val="2337774B"/>
    <w:rsid w:val="23481B63"/>
    <w:rsid w:val="2351290E"/>
    <w:rsid w:val="23591063"/>
    <w:rsid w:val="235A0F1A"/>
    <w:rsid w:val="235D323C"/>
    <w:rsid w:val="23656399"/>
    <w:rsid w:val="23665294"/>
    <w:rsid w:val="236C281B"/>
    <w:rsid w:val="2372532F"/>
    <w:rsid w:val="23823682"/>
    <w:rsid w:val="238E318C"/>
    <w:rsid w:val="23906450"/>
    <w:rsid w:val="23A420F7"/>
    <w:rsid w:val="23AE59CB"/>
    <w:rsid w:val="23BE70A9"/>
    <w:rsid w:val="23C75EE5"/>
    <w:rsid w:val="23D24679"/>
    <w:rsid w:val="23D66441"/>
    <w:rsid w:val="23D75C2D"/>
    <w:rsid w:val="23DD3188"/>
    <w:rsid w:val="23DD3E5B"/>
    <w:rsid w:val="23E45141"/>
    <w:rsid w:val="23E50DFE"/>
    <w:rsid w:val="23E554E6"/>
    <w:rsid w:val="23E7391D"/>
    <w:rsid w:val="23FD3354"/>
    <w:rsid w:val="24042CD6"/>
    <w:rsid w:val="24197D2E"/>
    <w:rsid w:val="242520DD"/>
    <w:rsid w:val="24286D04"/>
    <w:rsid w:val="242A5864"/>
    <w:rsid w:val="24336302"/>
    <w:rsid w:val="243946CC"/>
    <w:rsid w:val="243B2B90"/>
    <w:rsid w:val="243E25C8"/>
    <w:rsid w:val="244357BA"/>
    <w:rsid w:val="244B70E2"/>
    <w:rsid w:val="244C4B42"/>
    <w:rsid w:val="24507087"/>
    <w:rsid w:val="245844B3"/>
    <w:rsid w:val="245C6A2E"/>
    <w:rsid w:val="24604C2F"/>
    <w:rsid w:val="24644E87"/>
    <w:rsid w:val="2481176D"/>
    <w:rsid w:val="248357B6"/>
    <w:rsid w:val="248F0601"/>
    <w:rsid w:val="24936440"/>
    <w:rsid w:val="249B068F"/>
    <w:rsid w:val="24A413AE"/>
    <w:rsid w:val="24A44327"/>
    <w:rsid w:val="24B51507"/>
    <w:rsid w:val="24B80DE9"/>
    <w:rsid w:val="24C57038"/>
    <w:rsid w:val="24D04101"/>
    <w:rsid w:val="24D96306"/>
    <w:rsid w:val="24E35E5C"/>
    <w:rsid w:val="24E828A2"/>
    <w:rsid w:val="25040357"/>
    <w:rsid w:val="25063BFD"/>
    <w:rsid w:val="25106D5A"/>
    <w:rsid w:val="25151810"/>
    <w:rsid w:val="25152110"/>
    <w:rsid w:val="252D01A0"/>
    <w:rsid w:val="252E024E"/>
    <w:rsid w:val="25311E5F"/>
    <w:rsid w:val="25355E09"/>
    <w:rsid w:val="254A39C3"/>
    <w:rsid w:val="254E4445"/>
    <w:rsid w:val="255A481F"/>
    <w:rsid w:val="255A738A"/>
    <w:rsid w:val="255F3BF4"/>
    <w:rsid w:val="25615BCD"/>
    <w:rsid w:val="25681E17"/>
    <w:rsid w:val="256E25F1"/>
    <w:rsid w:val="25710315"/>
    <w:rsid w:val="25906723"/>
    <w:rsid w:val="25945D6C"/>
    <w:rsid w:val="25977732"/>
    <w:rsid w:val="259D1744"/>
    <w:rsid w:val="25A53EFD"/>
    <w:rsid w:val="25B077EB"/>
    <w:rsid w:val="25B71138"/>
    <w:rsid w:val="25B739AB"/>
    <w:rsid w:val="25B75D13"/>
    <w:rsid w:val="25B85F00"/>
    <w:rsid w:val="25B94588"/>
    <w:rsid w:val="25BA537D"/>
    <w:rsid w:val="25BD4B64"/>
    <w:rsid w:val="25BF253F"/>
    <w:rsid w:val="25C20919"/>
    <w:rsid w:val="25C23B37"/>
    <w:rsid w:val="25C3378A"/>
    <w:rsid w:val="25D74F8A"/>
    <w:rsid w:val="25F56D19"/>
    <w:rsid w:val="25FA1C70"/>
    <w:rsid w:val="2607382C"/>
    <w:rsid w:val="260C0043"/>
    <w:rsid w:val="260E742C"/>
    <w:rsid w:val="260F285E"/>
    <w:rsid w:val="260F3540"/>
    <w:rsid w:val="261439A5"/>
    <w:rsid w:val="261F39EA"/>
    <w:rsid w:val="26272FC8"/>
    <w:rsid w:val="262A36A9"/>
    <w:rsid w:val="26325599"/>
    <w:rsid w:val="26335014"/>
    <w:rsid w:val="26350991"/>
    <w:rsid w:val="263B12C0"/>
    <w:rsid w:val="263E6B2A"/>
    <w:rsid w:val="264F6ED3"/>
    <w:rsid w:val="2652631A"/>
    <w:rsid w:val="265A069A"/>
    <w:rsid w:val="26682B79"/>
    <w:rsid w:val="26734082"/>
    <w:rsid w:val="26762EF3"/>
    <w:rsid w:val="267B51E2"/>
    <w:rsid w:val="26A97283"/>
    <w:rsid w:val="26B21559"/>
    <w:rsid w:val="26B908EF"/>
    <w:rsid w:val="26C4631E"/>
    <w:rsid w:val="26DC2E90"/>
    <w:rsid w:val="26E67B52"/>
    <w:rsid w:val="26EF61D7"/>
    <w:rsid w:val="26F50D5B"/>
    <w:rsid w:val="270D1D4F"/>
    <w:rsid w:val="270E63FD"/>
    <w:rsid w:val="270F5784"/>
    <w:rsid w:val="27111098"/>
    <w:rsid w:val="271559EC"/>
    <w:rsid w:val="27165DCC"/>
    <w:rsid w:val="27187EB6"/>
    <w:rsid w:val="27220804"/>
    <w:rsid w:val="273201F7"/>
    <w:rsid w:val="275E3E10"/>
    <w:rsid w:val="275F19A0"/>
    <w:rsid w:val="27603225"/>
    <w:rsid w:val="2762286C"/>
    <w:rsid w:val="276E20C0"/>
    <w:rsid w:val="277B1DAD"/>
    <w:rsid w:val="2782206A"/>
    <w:rsid w:val="27905244"/>
    <w:rsid w:val="279126CD"/>
    <w:rsid w:val="27962D54"/>
    <w:rsid w:val="2799658F"/>
    <w:rsid w:val="279B0C2A"/>
    <w:rsid w:val="279B6E24"/>
    <w:rsid w:val="27AC0928"/>
    <w:rsid w:val="27AC7A02"/>
    <w:rsid w:val="27C8509B"/>
    <w:rsid w:val="27CE121D"/>
    <w:rsid w:val="27CF725A"/>
    <w:rsid w:val="27D8245E"/>
    <w:rsid w:val="27DB6E65"/>
    <w:rsid w:val="27DE3070"/>
    <w:rsid w:val="27DF01D5"/>
    <w:rsid w:val="27E33F0A"/>
    <w:rsid w:val="27EF7938"/>
    <w:rsid w:val="27F070DC"/>
    <w:rsid w:val="27F224C6"/>
    <w:rsid w:val="27F54ACB"/>
    <w:rsid w:val="27F61674"/>
    <w:rsid w:val="27F75753"/>
    <w:rsid w:val="27F91277"/>
    <w:rsid w:val="27FB22F2"/>
    <w:rsid w:val="28083900"/>
    <w:rsid w:val="2825367D"/>
    <w:rsid w:val="2826115F"/>
    <w:rsid w:val="282F78AD"/>
    <w:rsid w:val="28423B4D"/>
    <w:rsid w:val="28507CDA"/>
    <w:rsid w:val="28532E6F"/>
    <w:rsid w:val="285B443E"/>
    <w:rsid w:val="285B6F79"/>
    <w:rsid w:val="285D1D01"/>
    <w:rsid w:val="286554BC"/>
    <w:rsid w:val="28664C40"/>
    <w:rsid w:val="28687B6A"/>
    <w:rsid w:val="286B558E"/>
    <w:rsid w:val="28715F10"/>
    <w:rsid w:val="287F21DC"/>
    <w:rsid w:val="2880389E"/>
    <w:rsid w:val="288838BE"/>
    <w:rsid w:val="288B31D5"/>
    <w:rsid w:val="28947941"/>
    <w:rsid w:val="28962598"/>
    <w:rsid w:val="289D5340"/>
    <w:rsid w:val="28A4629F"/>
    <w:rsid w:val="28BF72F1"/>
    <w:rsid w:val="28C4032F"/>
    <w:rsid w:val="28C571B3"/>
    <w:rsid w:val="28C67C64"/>
    <w:rsid w:val="28C739EF"/>
    <w:rsid w:val="28D650A9"/>
    <w:rsid w:val="28E90040"/>
    <w:rsid w:val="28EE0FEB"/>
    <w:rsid w:val="28FE0602"/>
    <w:rsid w:val="290630EB"/>
    <w:rsid w:val="29075AB6"/>
    <w:rsid w:val="290859E6"/>
    <w:rsid w:val="290C57B8"/>
    <w:rsid w:val="290E7873"/>
    <w:rsid w:val="291017E1"/>
    <w:rsid w:val="291A7AFF"/>
    <w:rsid w:val="29201757"/>
    <w:rsid w:val="29210377"/>
    <w:rsid w:val="29292C68"/>
    <w:rsid w:val="292A1473"/>
    <w:rsid w:val="292B5669"/>
    <w:rsid w:val="293109CA"/>
    <w:rsid w:val="29361B4A"/>
    <w:rsid w:val="29387915"/>
    <w:rsid w:val="295B0537"/>
    <w:rsid w:val="296B3782"/>
    <w:rsid w:val="296C0526"/>
    <w:rsid w:val="2976153E"/>
    <w:rsid w:val="2976422B"/>
    <w:rsid w:val="29770DF8"/>
    <w:rsid w:val="29804282"/>
    <w:rsid w:val="29892A48"/>
    <w:rsid w:val="298A7A73"/>
    <w:rsid w:val="298B2893"/>
    <w:rsid w:val="299A19C2"/>
    <w:rsid w:val="29B107CB"/>
    <w:rsid w:val="29BA586D"/>
    <w:rsid w:val="29BE78B6"/>
    <w:rsid w:val="29DF4C6B"/>
    <w:rsid w:val="29E02EFF"/>
    <w:rsid w:val="29FF6AEC"/>
    <w:rsid w:val="2A1119BD"/>
    <w:rsid w:val="2A1B09A7"/>
    <w:rsid w:val="2A1E1FED"/>
    <w:rsid w:val="2A2468F4"/>
    <w:rsid w:val="2A291340"/>
    <w:rsid w:val="2A302748"/>
    <w:rsid w:val="2A313FD8"/>
    <w:rsid w:val="2A3C6C16"/>
    <w:rsid w:val="2A405DCF"/>
    <w:rsid w:val="2A471409"/>
    <w:rsid w:val="2A624AB9"/>
    <w:rsid w:val="2A656271"/>
    <w:rsid w:val="2A666A78"/>
    <w:rsid w:val="2A692E61"/>
    <w:rsid w:val="2A714957"/>
    <w:rsid w:val="2A7232D7"/>
    <w:rsid w:val="2A7C05A7"/>
    <w:rsid w:val="2A7F62E3"/>
    <w:rsid w:val="2A813A71"/>
    <w:rsid w:val="2A905E97"/>
    <w:rsid w:val="2A95523A"/>
    <w:rsid w:val="2A9B26D0"/>
    <w:rsid w:val="2A9F08D1"/>
    <w:rsid w:val="2AA83A3F"/>
    <w:rsid w:val="2AB2320F"/>
    <w:rsid w:val="2ABF1D3F"/>
    <w:rsid w:val="2AC000FB"/>
    <w:rsid w:val="2AC264EE"/>
    <w:rsid w:val="2ACA0D0E"/>
    <w:rsid w:val="2AD5268F"/>
    <w:rsid w:val="2AEA4D0C"/>
    <w:rsid w:val="2AF11577"/>
    <w:rsid w:val="2AF50C32"/>
    <w:rsid w:val="2AF6529B"/>
    <w:rsid w:val="2B013B20"/>
    <w:rsid w:val="2B1256A1"/>
    <w:rsid w:val="2B21394F"/>
    <w:rsid w:val="2B21691B"/>
    <w:rsid w:val="2B290181"/>
    <w:rsid w:val="2B2916E7"/>
    <w:rsid w:val="2B2C73D4"/>
    <w:rsid w:val="2B305C78"/>
    <w:rsid w:val="2B344980"/>
    <w:rsid w:val="2B385F30"/>
    <w:rsid w:val="2B3A39CA"/>
    <w:rsid w:val="2B3E7EE5"/>
    <w:rsid w:val="2B4222ED"/>
    <w:rsid w:val="2B532AC4"/>
    <w:rsid w:val="2B555E25"/>
    <w:rsid w:val="2B5D3D5F"/>
    <w:rsid w:val="2B654038"/>
    <w:rsid w:val="2B6E0F50"/>
    <w:rsid w:val="2B7102A7"/>
    <w:rsid w:val="2B7B7348"/>
    <w:rsid w:val="2B8A0D5B"/>
    <w:rsid w:val="2B8C30E0"/>
    <w:rsid w:val="2B9119F2"/>
    <w:rsid w:val="2B97563A"/>
    <w:rsid w:val="2B9942DF"/>
    <w:rsid w:val="2BAD343A"/>
    <w:rsid w:val="2BAD3AC5"/>
    <w:rsid w:val="2BB06E8D"/>
    <w:rsid w:val="2BB43D0C"/>
    <w:rsid w:val="2BBE3C36"/>
    <w:rsid w:val="2BBF3D45"/>
    <w:rsid w:val="2BC350FC"/>
    <w:rsid w:val="2BC53F3F"/>
    <w:rsid w:val="2BD472B9"/>
    <w:rsid w:val="2BE60559"/>
    <w:rsid w:val="2BFF6D7B"/>
    <w:rsid w:val="2C021999"/>
    <w:rsid w:val="2C09309A"/>
    <w:rsid w:val="2C1873B2"/>
    <w:rsid w:val="2C216CEA"/>
    <w:rsid w:val="2C2378D1"/>
    <w:rsid w:val="2C25780E"/>
    <w:rsid w:val="2C2C0FEE"/>
    <w:rsid w:val="2C2F7C1E"/>
    <w:rsid w:val="2C325AE8"/>
    <w:rsid w:val="2C366807"/>
    <w:rsid w:val="2C4D35A1"/>
    <w:rsid w:val="2C6205EF"/>
    <w:rsid w:val="2C6465D8"/>
    <w:rsid w:val="2C6619A5"/>
    <w:rsid w:val="2C68733C"/>
    <w:rsid w:val="2C697645"/>
    <w:rsid w:val="2C967771"/>
    <w:rsid w:val="2CAC1CDC"/>
    <w:rsid w:val="2CBC72B7"/>
    <w:rsid w:val="2CCC623B"/>
    <w:rsid w:val="2CD11468"/>
    <w:rsid w:val="2CD72673"/>
    <w:rsid w:val="2CD73DEC"/>
    <w:rsid w:val="2CDA4AEB"/>
    <w:rsid w:val="2CEA640A"/>
    <w:rsid w:val="2CEC2A2D"/>
    <w:rsid w:val="2CEC7591"/>
    <w:rsid w:val="2CF220FC"/>
    <w:rsid w:val="2CF25EBD"/>
    <w:rsid w:val="2CF539DE"/>
    <w:rsid w:val="2CF57A86"/>
    <w:rsid w:val="2CFB5FDB"/>
    <w:rsid w:val="2D014079"/>
    <w:rsid w:val="2D015FD7"/>
    <w:rsid w:val="2D132113"/>
    <w:rsid w:val="2D1E3DD0"/>
    <w:rsid w:val="2D2A2F93"/>
    <w:rsid w:val="2D2B6EDC"/>
    <w:rsid w:val="2D2D2B31"/>
    <w:rsid w:val="2D306FF5"/>
    <w:rsid w:val="2D362FA6"/>
    <w:rsid w:val="2D6510C1"/>
    <w:rsid w:val="2D680962"/>
    <w:rsid w:val="2D6B19FB"/>
    <w:rsid w:val="2D6F48DE"/>
    <w:rsid w:val="2D796A75"/>
    <w:rsid w:val="2D8106C7"/>
    <w:rsid w:val="2D820B90"/>
    <w:rsid w:val="2D846026"/>
    <w:rsid w:val="2D86624A"/>
    <w:rsid w:val="2D94414C"/>
    <w:rsid w:val="2DA20A64"/>
    <w:rsid w:val="2DB0643B"/>
    <w:rsid w:val="2DB10E4B"/>
    <w:rsid w:val="2DC618B4"/>
    <w:rsid w:val="2DC620F5"/>
    <w:rsid w:val="2DC95FF2"/>
    <w:rsid w:val="2DD75859"/>
    <w:rsid w:val="2DF732DE"/>
    <w:rsid w:val="2E1F07F7"/>
    <w:rsid w:val="2E236874"/>
    <w:rsid w:val="2E247A70"/>
    <w:rsid w:val="2E2C0452"/>
    <w:rsid w:val="2E2F32EB"/>
    <w:rsid w:val="2E337103"/>
    <w:rsid w:val="2E3F6E03"/>
    <w:rsid w:val="2E41793F"/>
    <w:rsid w:val="2E4C4308"/>
    <w:rsid w:val="2E507221"/>
    <w:rsid w:val="2E5E71A5"/>
    <w:rsid w:val="2E5F033A"/>
    <w:rsid w:val="2E6E3321"/>
    <w:rsid w:val="2E75470F"/>
    <w:rsid w:val="2E76046C"/>
    <w:rsid w:val="2E7B74D0"/>
    <w:rsid w:val="2E845CA2"/>
    <w:rsid w:val="2E893DA2"/>
    <w:rsid w:val="2E9272CC"/>
    <w:rsid w:val="2EA54C29"/>
    <w:rsid w:val="2EAA0A81"/>
    <w:rsid w:val="2EAA3251"/>
    <w:rsid w:val="2EB26B05"/>
    <w:rsid w:val="2EC3709F"/>
    <w:rsid w:val="2EC47577"/>
    <w:rsid w:val="2ECA70FB"/>
    <w:rsid w:val="2ECE2F51"/>
    <w:rsid w:val="2ED10106"/>
    <w:rsid w:val="2ED23BD8"/>
    <w:rsid w:val="2EDA6686"/>
    <w:rsid w:val="2EDE4B3F"/>
    <w:rsid w:val="2EE0073D"/>
    <w:rsid w:val="2EE133B5"/>
    <w:rsid w:val="2EEC5C9F"/>
    <w:rsid w:val="2EF05A9D"/>
    <w:rsid w:val="2F0033D3"/>
    <w:rsid w:val="2F0728A3"/>
    <w:rsid w:val="2F0B441B"/>
    <w:rsid w:val="2F0D2646"/>
    <w:rsid w:val="2F1409A6"/>
    <w:rsid w:val="2F180FA7"/>
    <w:rsid w:val="2F1F2B98"/>
    <w:rsid w:val="2F2249DD"/>
    <w:rsid w:val="2F2B6FA1"/>
    <w:rsid w:val="2F367CF4"/>
    <w:rsid w:val="2F4558DE"/>
    <w:rsid w:val="2F486BF0"/>
    <w:rsid w:val="2F4F63BF"/>
    <w:rsid w:val="2F735CA3"/>
    <w:rsid w:val="2F76124D"/>
    <w:rsid w:val="2F7E76C1"/>
    <w:rsid w:val="2F8241E4"/>
    <w:rsid w:val="2F883258"/>
    <w:rsid w:val="2F9152D2"/>
    <w:rsid w:val="2F952845"/>
    <w:rsid w:val="2F975BB1"/>
    <w:rsid w:val="2FA34A9C"/>
    <w:rsid w:val="2FA93EBB"/>
    <w:rsid w:val="2FDE0E79"/>
    <w:rsid w:val="2FEB485E"/>
    <w:rsid w:val="2FED7326"/>
    <w:rsid w:val="2FEF33A7"/>
    <w:rsid w:val="2FF92D3A"/>
    <w:rsid w:val="2FFC3113"/>
    <w:rsid w:val="30060E01"/>
    <w:rsid w:val="3006124E"/>
    <w:rsid w:val="300A59D4"/>
    <w:rsid w:val="300E1572"/>
    <w:rsid w:val="30104C59"/>
    <w:rsid w:val="3015526C"/>
    <w:rsid w:val="30167CD1"/>
    <w:rsid w:val="301810A6"/>
    <w:rsid w:val="301B6D19"/>
    <w:rsid w:val="301E0E4E"/>
    <w:rsid w:val="301F6BC5"/>
    <w:rsid w:val="30284BD1"/>
    <w:rsid w:val="302F3C6C"/>
    <w:rsid w:val="302F642F"/>
    <w:rsid w:val="30487E62"/>
    <w:rsid w:val="30513750"/>
    <w:rsid w:val="3052586F"/>
    <w:rsid w:val="305335DB"/>
    <w:rsid w:val="305B35BF"/>
    <w:rsid w:val="305D1A21"/>
    <w:rsid w:val="305E345B"/>
    <w:rsid w:val="30607A7D"/>
    <w:rsid w:val="3062174A"/>
    <w:rsid w:val="30680F88"/>
    <w:rsid w:val="3072666E"/>
    <w:rsid w:val="307358C8"/>
    <w:rsid w:val="307F061E"/>
    <w:rsid w:val="30887B99"/>
    <w:rsid w:val="3098694B"/>
    <w:rsid w:val="309B0BD0"/>
    <w:rsid w:val="30A86E6F"/>
    <w:rsid w:val="30AB5A5F"/>
    <w:rsid w:val="30AC5C22"/>
    <w:rsid w:val="30BA02DB"/>
    <w:rsid w:val="30BF20BA"/>
    <w:rsid w:val="30C03C74"/>
    <w:rsid w:val="30C84EB6"/>
    <w:rsid w:val="30E15DC6"/>
    <w:rsid w:val="30E9244F"/>
    <w:rsid w:val="30EE176F"/>
    <w:rsid w:val="30F11D0D"/>
    <w:rsid w:val="30F40E92"/>
    <w:rsid w:val="30F7740C"/>
    <w:rsid w:val="30FA5E46"/>
    <w:rsid w:val="310B59DC"/>
    <w:rsid w:val="31182D58"/>
    <w:rsid w:val="311D6043"/>
    <w:rsid w:val="3120328B"/>
    <w:rsid w:val="313C20D0"/>
    <w:rsid w:val="31440FB7"/>
    <w:rsid w:val="314824A5"/>
    <w:rsid w:val="314A28CE"/>
    <w:rsid w:val="314C346B"/>
    <w:rsid w:val="314E7DBB"/>
    <w:rsid w:val="315548AE"/>
    <w:rsid w:val="315D295F"/>
    <w:rsid w:val="31603F47"/>
    <w:rsid w:val="3167339C"/>
    <w:rsid w:val="31833399"/>
    <w:rsid w:val="31837425"/>
    <w:rsid w:val="31963285"/>
    <w:rsid w:val="319F38AD"/>
    <w:rsid w:val="31A61479"/>
    <w:rsid w:val="31AA1E8D"/>
    <w:rsid w:val="31AD7ABB"/>
    <w:rsid w:val="31AE4950"/>
    <w:rsid w:val="31B232F3"/>
    <w:rsid w:val="31BF52C7"/>
    <w:rsid w:val="31CE7ACC"/>
    <w:rsid w:val="31D643EC"/>
    <w:rsid w:val="31D66215"/>
    <w:rsid w:val="31D712D6"/>
    <w:rsid w:val="31DD2BA3"/>
    <w:rsid w:val="31E6401B"/>
    <w:rsid w:val="31E6507C"/>
    <w:rsid w:val="31E72297"/>
    <w:rsid w:val="31F240E0"/>
    <w:rsid w:val="31F32984"/>
    <w:rsid w:val="320544D6"/>
    <w:rsid w:val="320664A1"/>
    <w:rsid w:val="320A07D5"/>
    <w:rsid w:val="320F6705"/>
    <w:rsid w:val="321031DC"/>
    <w:rsid w:val="32143AA2"/>
    <w:rsid w:val="322079FE"/>
    <w:rsid w:val="3222237C"/>
    <w:rsid w:val="32225CA9"/>
    <w:rsid w:val="322A44F2"/>
    <w:rsid w:val="322E1AD9"/>
    <w:rsid w:val="323F6674"/>
    <w:rsid w:val="32512F3D"/>
    <w:rsid w:val="32554FC7"/>
    <w:rsid w:val="325D3EB5"/>
    <w:rsid w:val="325F4584"/>
    <w:rsid w:val="326048AB"/>
    <w:rsid w:val="32653608"/>
    <w:rsid w:val="326A146F"/>
    <w:rsid w:val="326D050E"/>
    <w:rsid w:val="327540DC"/>
    <w:rsid w:val="32767BCC"/>
    <w:rsid w:val="32797881"/>
    <w:rsid w:val="329548FF"/>
    <w:rsid w:val="32A1301E"/>
    <w:rsid w:val="32A17613"/>
    <w:rsid w:val="32A20284"/>
    <w:rsid w:val="32B04276"/>
    <w:rsid w:val="32B31274"/>
    <w:rsid w:val="32B71119"/>
    <w:rsid w:val="32BB2178"/>
    <w:rsid w:val="32D0275A"/>
    <w:rsid w:val="32DF4AA9"/>
    <w:rsid w:val="32E046A8"/>
    <w:rsid w:val="32EF2DC0"/>
    <w:rsid w:val="32F62330"/>
    <w:rsid w:val="32F8425B"/>
    <w:rsid w:val="32FA6650"/>
    <w:rsid w:val="33101336"/>
    <w:rsid w:val="33125B84"/>
    <w:rsid w:val="33167FC7"/>
    <w:rsid w:val="331F564E"/>
    <w:rsid w:val="3329365C"/>
    <w:rsid w:val="33316EFD"/>
    <w:rsid w:val="33375C4E"/>
    <w:rsid w:val="333A5458"/>
    <w:rsid w:val="333F45DE"/>
    <w:rsid w:val="334078A1"/>
    <w:rsid w:val="3344205F"/>
    <w:rsid w:val="334B4B30"/>
    <w:rsid w:val="334E5808"/>
    <w:rsid w:val="3355252B"/>
    <w:rsid w:val="33586590"/>
    <w:rsid w:val="33595371"/>
    <w:rsid w:val="33677CFA"/>
    <w:rsid w:val="338045A2"/>
    <w:rsid w:val="338061E0"/>
    <w:rsid w:val="338143ED"/>
    <w:rsid w:val="33822F1B"/>
    <w:rsid w:val="339D2981"/>
    <w:rsid w:val="339E4FF5"/>
    <w:rsid w:val="33A02EE3"/>
    <w:rsid w:val="33A23F0D"/>
    <w:rsid w:val="33A464F2"/>
    <w:rsid w:val="33AA2D5D"/>
    <w:rsid w:val="33AA33FD"/>
    <w:rsid w:val="33AA6D9E"/>
    <w:rsid w:val="33B73AA1"/>
    <w:rsid w:val="33C014B8"/>
    <w:rsid w:val="33C1567C"/>
    <w:rsid w:val="33D259EA"/>
    <w:rsid w:val="33D916E1"/>
    <w:rsid w:val="33EC53E3"/>
    <w:rsid w:val="33ED5541"/>
    <w:rsid w:val="33F82AD7"/>
    <w:rsid w:val="33FA1DFC"/>
    <w:rsid w:val="34065DA7"/>
    <w:rsid w:val="3408505D"/>
    <w:rsid w:val="341D70DB"/>
    <w:rsid w:val="341E4244"/>
    <w:rsid w:val="34221CAB"/>
    <w:rsid w:val="3433636E"/>
    <w:rsid w:val="3443066D"/>
    <w:rsid w:val="34450A79"/>
    <w:rsid w:val="344B7E7C"/>
    <w:rsid w:val="344E18C9"/>
    <w:rsid w:val="344F33C1"/>
    <w:rsid w:val="3465042F"/>
    <w:rsid w:val="347069E4"/>
    <w:rsid w:val="34766E7E"/>
    <w:rsid w:val="347D197B"/>
    <w:rsid w:val="348115A4"/>
    <w:rsid w:val="3481698C"/>
    <w:rsid w:val="348871E8"/>
    <w:rsid w:val="348B5AD1"/>
    <w:rsid w:val="348F3779"/>
    <w:rsid w:val="349C34BA"/>
    <w:rsid w:val="349D0456"/>
    <w:rsid w:val="34A3644C"/>
    <w:rsid w:val="34A90914"/>
    <w:rsid w:val="34B57BFE"/>
    <w:rsid w:val="34B74E95"/>
    <w:rsid w:val="34BE080A"/>
    <w:rsid w:val="34BE1CBB"/>
    <w:rsid w:val="34C21C4E"/>
    <w:rsid w:val="34C304A9"/>
    <w:rsid w:val="34C80348"/>
    <w:rsid w:val="34CE78B3"/>
    <w:rsid w:val="34D044CE"/>
    <w:rsid w:val="34D0727D"/>
    <w:rsid w:val="34DB2A51"/>
    <w:rsid w:val="34E75AD3"/>
    <w:rsid w:val="34EE724B"/>
    <w:rsid w:val="35121556"/>
    <w:rsid w:val="351506CB"/>
    <w:rsid w:val="35174439"/>
    <w:rsid w:val="35174E5F"/>
    <w:rsid w:val="352C398B"/>
    <w:rsid w:val="35304BFC"/>
    <w:rsid w:val="35342CCA"/>
    <w:rsid w:val="35390BDE"/>
    <w:rsid w:val="35391F15"/>
    <w:rsid w:val="354E4D83"/>
    <w:rsid w:val="355A7665"/>
    <w:rsid w:val="356E583E"/>
    <w:rsid w:val="357154D1"/>
    <w:rsid w:val="35774367"/>
    <w:rsid w:val="357F6572"/>
    <w:rsid w:val="358D10B1"/>
    <w:rsid w:val="359A274C"/>
    <w:rsid w:val="359F7BDA"/>
    <w:rsid w:val="35B23F57"/>
    <w:rsid w:val="35C47C60"/>
    <w:rsid w:val="35D22475"/>
    <w:rsid w:val="35DE08AB"/>
    <w:rsid w:val="35E610FF"/>
    <w:rsid w:val="35E73564"/>
    <w:rsid w:val="35F40534"/>
    <w:rsid w:val="35F5619A"/>
    <w:rsid w:val="35F66D41"/>
    <w:rsid w:val="35F75C0F"/>
    <w:rsid w:val="35F80FC8"/>
    <w:rsid w:val="35FB503F"/>
    <w:rsid w:val="36025437"/>
    <w:rsid w:val="36055075"/>
    <w:rsid w:val="36075DF9"/>
    <w:rsid w:val="360F7F53"/>
    <w:rsid w:val="361B7A7F"/>
    <w:rsid w:val="36384468"/>
    <w:rsid w:val="365A77E3"/>
    <w:rsid w:val="36715489"/>
    <w:rsid w:val="36845533"/>
    <w:rsid w:val="3692269B"/>
    <w:rsid w:val="369D53C5"/>
    <w:rsid w:val="36A515BD"/>
    <w:rsid w:val="36A6100F"/>
    <w:rsid w:val="36AB3AE1"/>
    <w:rsid w:val="36AF6E15"/>
    <w:rsid w:val="36B94538"/>
    <w:rsid w:val="36B9491C"/>
    <w:rsid w:val="36C807E4"/>
    <w:rsid w:val="36D91DEB"/>
    <w:rsid w:val="36DD0E09"/>
    <w:rsid w:val="36EE28CB"/>
    <w:rsid w:val="36F50E28"/>
    <w:rsid w:val="370305C2"/>
    <w:rsid w:val="370958D4"/>
    <w:rsid w:val="370A5577"/>
    <w:rsid w:val="37164CC2"/>
    <w:rsid w:val="3725034D"/>
    <w:rsid w:val="372A0948"/>
    <w:rsid w:val="373152A2"/>
    <w:rsid w:val="3745354A"/>
    <w:rsid w:val="374F522A"/>
    <w:rsid w:val="375D0DE2"/>
    <w:rsid w:val="376D01C9"/>
    <w:rsid w:val="377C7CD6"/>
    <w:rsid w:val="377F5BDC"/>
    <w:rsid w:val="378A47E3"/>
    <w:rsid w:val="378B55E3"/>
    <w:rsid w:val="37971E07"/>
    <w:rsid w:val="379D5550"/>
    <w:rsid w:val="379F46CC"/>
    <w:rsid w:val="37C61AC8"/>
    <w:rsid w:val="37C6415D"/>
    <w:rsid w:val="37E9436B"/>
    <w:rsid w:val="37EA5462"/>
    <w:rsid w:val="37F25633"/>
    <w:rsid w:val="37F62B52"/>
    <w:rsid w:val="3801048A"/>
    <w:rsid w:val="38096799"/>
    <w:rsid w:val="38277A2D"/>
    <w:rsid w:val="382E0B53"/>
    <w:rsid w:val="383104A8"/>
    <w:rsid w:val="38372AB9"/>
    <w:rsid w:val="384240F5"/>
    <w:rsid w:val="384A179A"/>
    <w:rsid w:val="38534120"/>
    <w:rsid w:val="385819D6"/>
    <w:rsid w:val="385F15B9"/>
    <w:rsid w:val="38600923"/>
    <w:rsid w:val="38632B09"/>
    <w:rsid w:val="38683C60"/>
    <w:rsid w:val="387B3B02"/>
    <w:rsid w:val="388645D9"/>
    <w:rsid w:val="388A0D6C"/>
    <w:rsid w:val="389453EA"/>
    <w:rsid w:val="389C733F"/>
    <w:rsid w:val="38B3582F"/>
    <w:rsid w:val="38BE64C4"/>
    <w:rsid w:val="38C25C88"/>
    <w:rsid w:val="38CB3EB0"/>
    <w:rsid w:val="38D6407C"/>
    <w:rsid w:val="38E4629D"/>
    <w:rsid w:val="38ED35DB"/>
    <w:rsid w:val="3902057C"/>
    <w:rsid w:val="39041422"/>
    <w:rsid w:val="39050BD7"/>
    <w:rsid w:val="390B7DEE"/>
    <w:rsid w:val="39161457"/>
    <w:rsid w:val="392739CD"/>
    <w:rsid w:val="39285257"/>
    <w:rsid w:val="392F33E9"/>
    <w:rsid w:val="394058A1"/>
    <w:rsid w:val="39453E84"/>
    <w:rsid w:val="395B587A"/>
    <w:rsid w:val="39634F2F"/>
    <w:rsid w:val="396B38F9"/>
    <w:rsid w:val="39725672"/>
    <w:rsid w:val="397C593B"/>
    <w:rsid w:val="398009F2"/>
    <w:rsid w:val="39856076"/>
    <w:rsid w:val="39904730"/>
    <w:rsid w:val="3998578F"/>
    <w:rsid w:val="399D40A6"/>
    <w:rsid w:val="399E10E9"/>
    <w:rsid w:val="39A15812"/>
    <w:rsid w:val="39A62BC5"/>
    <w:rsid w:val="39AB170B"/>
    <w:rsid w:val="39AB36B0"/>
    <w:rsid w:val="39AC5F39"/>
    <w:rsid w:val="39BD3526"/>
    <w:rsid w:val="39CA7EE1"/>
    <w:rsid w:val="39CF7C3B"/>
    <w:rsid w:val="39D0667C"/>
    <w:rsid w:val="39D13799"/>
    <w:rsid w:val="39D81C2E"/>
    <w:rsid w:val="39D834BC"/>
    <w:rsid w:val="39DB5D96"/>
    <w:rsid w:val="39E72C87"/>
    <w:rsid w:val="3A031FBB"/>
    <w:rsid w:val="3A0A1AA9"/>
    <w:rsid w:val="3A0B5777"/>
    <w:rsid w:val="3A155B6D"/>
    <w:rsid w:val="3A174B44"/>
    <w:rsid w:val="3A18071F"/>
    <w:rsid w:val="3A1E5170"/>
    <w:rsid w:val="3A340E74"/>
    <w:rsid w:val="3A3A6ED3"/>
    <w:rsid w:val="3A3B116A"/>
    <w:rsid w:val="3A40617E"/>
    <w:rsid w:val="3A4D2443"/>
    <w:rsid w:val="3A567FA2"/>
    <w:rsid w:val="3A6D28F3"/>
    <w:rsid w:val="3A6D578B"/>
    <w:rsid w:val="3A8335D3"/>
    <w:rsid w:val="3AA12391"/>
    <w:rsid w:val="3AB41160"/>
    <w:rsid w:val="3AB43C5D"/>
    <w:rsid w:val="3AB53404"/>
    <w:rsid w:val="3AB81F10"/>
    <w:rsid w:val="3AC00CC6"/>
    <w:rsid w:val="3AC46270"/>
    <w:rsid w:val="3ACA0E8E"/>
    <w:rsid w:val="3ACF410F"/>
    <w:rsid w:val="3AD338CF"/>
    <w:rsid w:val="3AE97133"/>
    <w:rsid w:val="3AF07747"/>
    <w:rsid w:val="3AF40AA8"/>
    <w:rsid w:val="3AF905E5"/>
    <w:rsid w:val="3B093699"/>
    <w:rsid w:val="3B0E32C8"/>
    <w:rsid w:val="3B1B1EED"/>
    <w:rsid w:val="3B1E77A1"/>
    <w:rsid w:val="3B226634"/>
    <w:rsid w:val="3B30376D"/>
    <w:rsid w:val="3B332520"/>
    <w:rsid w:val="3B336750"/>
    <w:rsid w:val="3B3E7874"/>
    <w:rsid w:val="3B476C5C"/>
    <w:rsid w:val="3B4B66AB"/>
    <w:rsid w:val="3B4B6968"/>
    <w:rsid w:val="3B4D2319"/>
    <w:rsid w:val="3B52584C"/>
    <w:rsid w:val="3B5C48FD"/>
    <w:rsid w:val="3B5D72EC"/>
    <w:rsid w:val="3B600818"/>
    <w:rsid w:val="3B764781"/>
    <w:rsid w:val="3B78287F"/>
    <w:rsid w:val="3B7A6828"/>
    <w:rsid w:val="3B917A3D"/>
    <w:rsid w:val="3B964F8C"/>
    <w:rsid w:val="3BA3417A"/>
    <w:rsid w:val="3BAD03B0"/>
    <w:rsid w:val="3BAD3C09"/>
    <w:rsid w:val="3BB27CC9"/>
    <w:rsid w:val="3BC25785"/>
    <w:rsid w:val="3BD33ADA"/>
    <w:rsid w:val="3BD43439"/>
    <w:rsid w:val="3BDB09BD"/>
    <w:rsid w:val="3BDC2AB5"/>
    <w:rsid w:val="3BDC484D"/>
    <w:rsid w:val="3BDE3AAA"/>
    <w:rsid w:val="3BE15761"/>
    <w:rsid w:val="3BF60A2E"/>
    <w:rsid w:val="3C2423A3"/>
    <w:rsid w:val="3C2E3ABB"/>
    <w:rsid w:val="3C354127"/>
    <w:rsid w:val="3C383785"/>
    <w:rsid w:val="3C4672D5"/>
    <w:rsid w:val="3C743B3F"/>
    <w:rsid w:val="3C75312D"/>
    <w:rsid w:val="3C7F73A4"/>
    <w:rsid w:val="3C9F674C"/>
    <w:rsid w:val="3CA1655A"/>
    <w:rsid w:val="3CA82ABA"/>
    <w:rsid w:val="3CAB23DB"/>
    <w:rsid w:val="3CAB622C"/>
    <w:rsid w:val="3CB06CF7"/>
    <w:rsid w:val="3CBB4053"/>
    <w:rsid w:val="3CBC1B1B"/>
    <w:rsid w:val="3CC65DEA"/>
    <w:rsid w:val="3CC70170"/>
    <w:rsid w:val="3CCC4D4C"/>
    <w:rsid w:val="3CDA79D6"/>
    <w:rsid w:val="3CE443AC"/>
    <w:rsid w:val="3CE6378A"/>
    <w:rsid w:val="3CFF781D"/>
    <w:rsid w:val="3D006537"/>
    <w:rsid w:val="3D04602E"/>
    <w:rsid w:val="3D051C8C"/>
    <w:rsid w:val="3D105DB8"/>
    <w:rsid w:val="3D1278CD"/>
    <w:rsid w:val="3D1651E3"/>
    <w:rsid w:val="3D230FA5"/>
    <w:rsid w:val="3D4753C2"/>
    <w:rsid w:val="3D502DD9"/>
    <w:rsid w:val="3D575A1F"/>
    <w:rsid w:val="3D5A5356"/>
    <w:rsid w:val="3D606D5A"/>
    <w:rsid w:val="3D6C04A2"/>
    <w:rsid w:val="3D6C7B1E"/>
    <w:rsid w:val="3D7B0EAE"/>
    <w:rsid w:val="3D7E169C"/>
    <w:rsid w:val="3D8842DF"/>
    <w:rsid w:val="3D8E489A"/>
    <w:rsid w:val="3D8F08A7"/>
    <w:rsid w:val="3D942DFB"/>
    <w:rsid w:val="3DA3457E"/>
    <w:rsid w:val="3DB3564E"/>
    <w:rsid w:val="3DB72439"/>
    <w:rsid w:val="3DE30D42"/>
    <w:rsid w:val="3DE50126"/>
    <w:rsid w:val="3DE734A8"/>
    <w:rsid w:val="3DE85616"/>
    <w:rsid w:val="3DEA6717"/>
    <w:rsid w:val="3DF066BE"/>
    <w:rsid w:val="3DF1237A"/>
    <w:rsid w:val="3DFC0FDC"/>
    <w:rsid w:val="3E0100A8"/>
    <w:rsid w:val="3E042B28"/>
    <w:rsid w:val="3E065D03"/>
    <w:rsid w:val="3E0D576A"/>
    <w:rsid w:val="3E15211A"/>
    <w:rsid w:val="3E25551A"/>
    <w:rsid w:val="3E2732A7"/>
    <w:rsid w:val="3E32130C"/>
    <w:rsid w:val="3E36060F"/>
    <w:rsid w:val="3E36080C"/>
    <w:rsid w:val="3E3C401A"/>
    <w:rsid w:val="3E433F6D"/>
    <w:rsid w:val="3E44218A"/>
    <w:rsid w:val="3E446FC6"/>
    <w:rsid w:val="3E457AC0"/>
    <w:rsid w:val="3E46589A"/>
    <w:rsid w:val="3E503CF0"/>
    <w:rsid w:val="3E5507F3"/>
    <w:rsid w:val="3E595BDA"/>
    <w:rsid w:val="3E643279"/>
    <w:rsid w:val="3E6B3B4F"/>
    <w:rsid w:val="3E6E2B13"/>
    <w:rsid w:val="3E793FCB"/>
    <w:rsid w:val="3E7B3C17"/>
    <w:rsid w:val="3E807C6B"/>
    <w:rsid w:val="3E8413CF"/>
    <w:rsid w:val="3E8823E8"/>
    <w:rsid w:val="3EA41F3B"/>
    <w:rsid w:val="3EAF785C"/>
    <w:rsid w:val="3EB5378A"/>
    <w:rsid w:val="3EBC5BF3"/>
    <w:rsid w:val="3EC86860"/>
    <w:rsid w:val="3EF16DA2"/>
    <w:rsid w:val="3EF230F9"/>
    <w:rsid w:val="3EF300AA"/>
    <w:rsid w:val="3EFA4897"/>
    <w:rsid w:val="3EFA7DE0"/>
    <w:rsid w:val="3F095ADA"/>
    <w:rsid w:val="3F0C51C1"/>
    <w:rsid w:val="3F0F6FB7"/>
    <w:rsid w:val="3F1C07B0"/>
    <w:rsid w:val="3F2000BF"/>
    <w:rsid w:val="3F214F25"/>
    <w:rsid w:val="3F2F0B00"/>
    <w:rsid w:val="3F3562E1"/>
    <w:rsid w:val="3F3F7018"/>
    <w:rsid w:val="3F407C46"/>
    <w:rsid w:val="3F496EA7"/>
    <w:rsid w:val="3F534A00"/>
    <w:rsid w:val="3F537B41"/>
    <w:rsid w:val="3F5C43D6"/>
    <w:rsid w:val="3F624259"/>
    <w:rsid w:val="3F626E4D"/>
    <w:rsid w:val="3F653A52"/>
    <w:rsid w:val="3F6C0920"/>
    <w:rsid w:val="3F741B48"/>
    <w:rsid w:val="3F78191C"/>
    <w:rsid w:val="3F783568"/>
    <w:rsid w:val="3F7A1AAF"/>
    <w:rsid w:val="3F7D08A7"/>
    <w:rsid w:val="3F7E4AA5"/>
    <w:rsid w:val="3F7E569A"/>
    <w:rsid w:val="3F813904"/>
    <w:rsid w:val="3F8A7998"/>
    <w:rsid w:val="3F8B2820"/>
    <w:rsid w:val="3FA8507A"/>
    <w:rsid w:val="3FBC5D40"/>
    <w:rsid w:val="3FC55420"/>
    <w:rsid w:val="3FC936F7"/>
    <w:rsid w:val="3FE8415D"/>
    <w:rsid w:val="3FEA5B8A"/>
    <w:rsid w:val="3FEC10DB"/>
    <w:rsid w:val="3FF45F20"/>
    <w:rsid w:val="3FF47EE2"/>
    <w:rsid w:val="3FFA0954"/>
    <w:rsid w:val="3FFF626D"/>
    <w:rsid w:val="40121EF7"/>
    <w:rsid w:val="40247999"/>
    <w:rsid w:val="40282971"/>
    <w:rsid w:val="4038105F"/>
    <w:rsid w:val="403911CE"/>
    <w:rsid w:val="403A0DD2"/>
    <w:rsid w:val="40450277"/>
    <w:rsid w:val="405428A2"/>
    <w:rsid w:val="405A3B40"/>
    <w:rsid w:val="405D354E"/>
    <w:rsid w:val="406D08C6"/>
    <w:rsid w:val="406D0C6A"/>
    <w:rsid w:val="406F5D95"/>
    <w:rsid w:val="40777C63"/>
    <w:rsid w:val="408B053C"/>
    <w:rsid w:val="408B18EF"/>
    <w:rsid w:val="409C7074"/>
    <w:rsid w:val="40A04EAA"/>
    <w:rsid w:val="40A42822"/>
    <w:rsid w:val="40A742D2"/>
    <w:rsid w:val="40AB069B"/>
    <w:rsid w:val="40B10C34"/>
    <w:rsid w:val="40B5528E"/>
    <w:rsid w:val="40BA1AEF"/>
    <w:rsid w:val="40BD1EE6"/>
    <w:rsid w:val="40CB45A4"/>
    <w:rsid w:val="40CD1439"/>
    <w:rsid w:val="40D21EAD"/>
    <w:rsid w:val="40D861A7"/>
    <w:rsid w:val="40D910E2"/>
    <w:rsid w:val="40DF325E"/>
    <w:rsid w:val="40E57226"/>
    <w:rsid w:val="40E86470"/>
    <w:rsid w:val="40EE5DCC"/>
    <w:rsid w:val="40F05B0A"/>
    <w:rsid w:val="40F077B3"/>
    <w:rsid w:val="40F173B9"/>
    <w:rsid w:val="41082368"/>
    <w:rsid w:val="410D62E6"/>
    <w:rsid w:val="410F7753"/>
    <w:rsid w:val="41114E45"/>
    <w:rsid w:val="41126378"/>
    <w:rsid w:val="411920B4"/>
    <w:rsid w:val="411D6786"/>
    <w:rsid w:val="41277B79"/>
    <w:rsid w:val="41280017"/>
    <w:rsid w:val="413750D5"/>
    <w:rsid w:val="413F3D30"/>
    <w:rsid w:val="41434944"/>
    <w:rsid w:val="41534C32"/>
    <w:rsid w:val="415955D3"/>
    <w:rsid w:val="415C07A6"/>
    <w:rsid w:val="41603558"/>
    <w:rsid w:val="4160791D"/>
    <w:rsid w:val="41622DA8"/>
    <w:rsid w:val="416267EE"/>
    <w:rsid w:val="41645765"/>
    <w:rsid w:val="41686319"/>
    <w:rsid w:val="416870EC"/>
    <w:rsid w:val="41691829"/>
    <w:rsid w:val="416C5F7A"/>
    <w:rsid w:val="416E56A4"/>
    <w:rsid w:val="4173114C"/>
    <w:rsid w:val="41736B5C"/>
    <w:rsid w:val="41744B68"/>
    <w:rsid w:val="41772038"/>
    <w:rsid w:val="41775552"/>
    <w:rsid w:val="417B0BF3"/>
    <w:rsid w:val="417C6A83"/>
    <w:rsid w:val="4184497F"/>
    <w:rsid w:val="41871848"/>
    <w:rsid w:val="41923730"/>
    <w:rsid w:val="41937A54"/>
    <w:rsid w:val="41C643BE"/>
    <w:rsid w:val="41D747D1"/>
    <w:rsid w:val="41E00F03"/>
    <w:rsid w:val="41E73EBD"/>
    <w:rsid w:val="41ED4C9A"/>
    <w:rsid w:val="41EE4AD1"/>
    <w:rsid w:val="41F41BC0"/>
    <w:rsid w:val="41F477B2"/>
    <w:rsid w:val="41F85DCB"/>
    <w:rsid w:val="42027A33"/>
    <w:rsid w:val="42050BB7"/>
    <w:rsid w:val="420958E7"/>
    <w:rsid w:val="420B47F1"/>
    <w:rsid w:val="42107462"/>
    <w:rsid w:val="421138F3"/>
    <w:rsid w:val="42144F39"/>
    <w:rsid w:val="421B376A"/>
    <w:rsid w:val="422A2EBE"/>
    <w:rsid w:val="42363D7E"/>
    <w:rsid w:val="42407972"/>
    <w:rsid w:val="425438F8"/>
    <w:rsid w:val="426D1AF9"/>
    <w:rsid w:val="42817119"/>
    <w:rsid w:val="428E6753"/>
    <w:rsid w:val="42B63740"/>
    <w:rsid w:val="42B80068"/>
    <w:rsid w:val="42BF3600"/>
    <w:rsid w:val="42C635AB"/>
    <w:rsid w:val="42CC41ED"/>
    <w:rsid w:val="42CD7A58"/>
    <w:rsid w:val="42DE4937"/>
    <w:rsid w:val="42E4482F"/>
    <w:rsid w:val="42E74894"/>
    <w:rsid w:val="42E80112"/>
    <w:rsid w:val="42E80BE7"/>
    <w:rsid w:val="42EA2674"/>
    <w:rsid w:val="42FF0A4E"/>
    <w:rsid w:val="42FF4FD2"/>
    <w:rsid w:val="43030B11"/>
    <w:rsid w:val="43072C25"/>
    <w:rsid w:val="430B7F74"/>
    <w:rsid w:val="43105BAF"/>
    <w:rsid w:val="43197002"/>
    <w:rsid w:val="431D2F80"/>
    <w:rsid w:val="431E756D"/>
    <w:rsid w:val="43205943"/>
    <w:rsid w:val="435306A7"/>
    <w:rsid w:val="435931F2"/>
    <w:rsid w:val="4359639F"/>
    <w:rsid w:val="435A2947"/>
    <w:rsid w:val="435D6F74"/>
    <w:rsid w:val="43611965"/>
    <w:rsid w:val="43642B1D"/>
    <w:rsid w:val="436C1FC8"/>
    <w:rsid w:val="43700594"/>
    <w:rsid w:val="43732E78"/>
    <w:rsid w:val="43811B04"/>
    <w:rsid w:val="438F5DCE"/>
    <w:rsid w:val="43A3234E"/>
    <w:rsid w:val="43A342D8"/>
    <w:rsid w:val="43AE2E0D"/>
    <w:rsid w:val="43B34D0B"/>
    <w:rsid w:val="43B52BC6"/>
    <w:rsid w:val="43C32F42"/>
    <w:rsid w:val="43C97B56"/>
    <w:rsid w:val="43CE13BE"/>
    <w:rsid w:val="43D25349"/>
    <w:rsid w:val="43D937EC"/>
    <w:rsid w:val="43DE5D0C"/>
    <w:rsid w:val="43E02455"/>
    <w:rsid w:val="43EC6B09"/>
    <w:rsid w:val="43FE5DB1"/>
    <w:rsid w:val="440067C9"/>
    <w:rsid w:val="44073A48"/>
    <w:rsid w:val="440F7E6A"/>
    <w:rsid w:val="44167D41"/>
    <w:rsid w:val="442147A2"/>
    <w:rsid w:val="44223E0E"/>
    <w:rsid w:val="442C4C7F"/>
    <w:rsid w:val="442D0AA5"/>
    <w:rsid w:val="443516B6"/>
    <w:rsid w:val="444F1108"/>
    <w:rsid w:val="44511999"/>
    <w:rsid w:val="445760CA"/>
    <w:rsid w:val="445953B8"/>
    <w:rsid w:val="44665051"/>
    <w:rsid w:val="44711679"/>
    <w:rsid w:val="447521B1"/>
    <w:rsid w:val="44875E7F"/>
    <w:rsid w:val="448D19A9"/>
    <w:rsid w:val="448E46F8"/>
    <w:rsid w:val="44906BF1"/>
    <w:rsid w:val="4492358A"/>
    <w:rsid w:val="44982C92"/>
    <w:rsid w:val="449C503F"/>
    <w:rsid w:val="449D6D76"/>
    <w:rsid w:val="44B21F69"/>
    <w:rsid w:val="44B44F90"/>
    <w:rsid w:val="44BC425D"/>
    <w:rsid w:val="44BE4D3E"/>
    <w:rsid w:val="44CD3295"/>
    <w:rsid w:val="44D57EE2"/>
    <w:rsid w:val="44DB2AB5"/>
    <w:rsid w:val="44DE04D4"/>
    <w:rsid w:val="44E9034C"/>
    <w:rsid w:val="44F215A8"/>
    <w:rsid w:val="44FA0E1F"/>
    <w:rsid w:val="44FD53A0"/>
    <w:rsid w:val="450C347C"/>
    <w:rsid w:val="450D614C"/>
    <w:rsid w:val="45116553"/>
    <w:rsid w:val="45206326"/>
    <w:rsid w:val="45423324"/>
    <w:rsid w:val="454E1331"/>
    <w:rsid w:val="455932E8"/>
    <w:rsid w:val="455A3F5B"/>
    <w:rsid w:val="455B0F64"/>
    <w:rsid w:val="45604017"/>
    <w:rsid w:val="45704792"/>
    <w:rsid w:val="45815A18"/>
    <w:rsid w:val="45952293"/>
    <w:rsid w:val="4595533A"/>
    <w:rsid w:val="4595753A"/>
    <w:rsid w:val="459B42F3"/>
    <w:rsid w:val="45A03CD6"/>
    <w:rsid w:val="45A30BB3"/>
    <w:rsid w:val="45B10667"/>
    <w:rsid w:val="45B422D4"/>
    <w:rsid w:val="45B52D2C"/>
    <w:rsid w:val="45BA5BB9"/>
    <w:rsid w:val="45CE3B4C"/>
    <w:rsid w:val="45D03EF8"/>
    <w:rsid w:val="45DF1526"/>
    <w:rsid w:val="45E124B2"/>
    <w:rsid w:val="45E45F0F"/>
    <w:rsid w:val="45E75834"/>
    <w:rsid w:val="45E9217D"/>
    <w:rsid w:val="45F30D3A"/>
    <w:rsid w:val="45F809DF"/>
    <w:rsid w:val="45FF46C9"/>
    <w:rsid w:val="46003ABE"/>
    <w:rsid w:val="46134FA2"/>
    <w:rsid w:val="461524F7"/>
    <w:rsid w:val="461E3141"/>
    <w:rsid w:val="46265E80"/>
    <w:rsid w:val="462B55EF"/>
    <w:rsid w:val="46333472"/>
    <w:rsid w:val="46394F31"/>
    <w:rsid w:val="463A3CFA"/>
    <w:rsid w:val="46532E46"/>
    <w:rsid w:val="46671256"/>
    <w:rsid w:val="46733FB6"/>
    <w:rsid w:val="467955D3"/>
    <w:rsid w:val="468E3B67"/>
    <w:rsid w:val="46936062"/>
    <w:rsid w:val="469778EA"/>
    <w:rsid w:val="46A74C79"/>
    <w:rsid w:val="46A75934"/>
    <w:rsid w:val="46A94AB1"/>
    <w:rsid w:val="46BB6376"/>
    <w:rsid w:val="46BF7718"/>
    <w:rsid w:val="46CD192D"/>
    <w:rsid w:val="46DB155E"/>
    <w:rsid w:val="46DB1E32"/>
    <w:rsid w:val="46DD4BEB"/>
    <w:rsid w:val="46DD4D21"/>
    <w:rsid w:val="46F109A8"/>
    <w:rsid w:val="471151D7"/>
    <w:rsid w:val="47177581"/>
    <w:rsid w:val="474D000E"/>
    <w:rsid w:val="474E6DEE"/>
    <w:rsid w:val="4756081E"/>
    <w:rsid w:val="477C0AE7"/>
    <w:rsid w:val="478B3ACA"/>
    <w:rsid w:val="478B51FC"/>
    <w:rsid w:val="47B068FC"/>
    <w:rsid w:val="47BA75CF"/>
    <w:rsid w:val="47C237A3"/>
    <w:rsid w:val="47D54EAC"/>
    <w:rsid w:val="47D73723"/>
    <w:rsid w:val="47E65A33"/>
    <w:rsid w:val="47F06768"/>
    <w:rsid w:val="48046339"/>
    <w:rsid w:val="48160455"/>
    <w:rsid w:val="48261984"/>
    <w:rsid w:val="482634B7"/>
    <w:rsid w:val="48285F33"/>
    <w:rsid w:val="482A2F5D"/>
    <w:rsid w:val="48343C6E"/>
    <w:rsid w:val="4843495F"/>
    <w:rsid w:val="48514723"/>
    <w:rsid w:val="48641329"/>
    <w:rsid w:val="48726106"/>
    <w:rsid w:val="48765DDB"/>
    <w:rsid w:val="487A5258"/>
    <w:rsid w:val="48802E8C"/>
    <w:rsid w:val="4884303D"/>
    <w:rsid w:val="488940B8"/>
    <w:rsid w:val="488A752D"/>
    <w:rsid w:val="488C7BDA"/>
    <w:rsid w:val="48924C2F"/>
    <w:rsid w:val="489B3890"/>
    <w:rsid w:val="489E0F6F"/>
    <w:rsid w:val="48A030A4"/>
    <w:rsid w:val="48A93172"/>
    <w:rsid w:val="48B7143C"/>
    <w:rsid w:val="48B91829"/>
    <w:rsid w:val="48B92384"/>
    <w:rsid w:val="48C37E6D"/>
    <w:rsid w:val="48C61083"/>
    <w:rsid w:val="48C7367E"/>
    <w:rsid w:val="48CA4280"/>
    <w:rsid w:val="48CD74D8"/>
    <w:rsid w:val="48CF73FA"/>
    <w:rsid w:val="48D173B8"/>
    <w:rsid w:val="48F869C3"/>
    <w:rsid w:val="48FC4177"/>
    <w:rsid w:val="49016D44"/>
    <w:rsid w:val="4902441E"/>
    <w:rsid w:val="491A084B"/>
    <w:rsid w:val="491D2FE5"/>
    <w:rsid w:val="491D4E75"/>
    <w:rsid w:val="49263C8E"/>
    <w:rsid w:val="4928270E"/>
    <w:rsid w:val="49293A04"/>
    <w:rsid w:val="492A337A"/>
    <w:rsid w:val="4930480C"/>
    <w:rsid w:val="493C2A90"/>
    <w:rsid w:val="49456040"/>
    <w:rsid w:val="4947267A"/>
    <w:rsid w:val="49526C8B"/>
    <w:rsid w:val="49575078"/>
    <w:rsid w:val="495D79CB"/>
    <w:rsid w:val="4962179E"/>
    <w:rsid w:val="49624E42"/>
    <w:rsid w:val="496A3B11"/>
    <w:rsid w:val="497A4E39"/>
    <w:rsid w:val="4985305E"/>
    <w:rsid w:val="49874010"/>
    <w:rsid w:val="498D603A"/>
    <w:rsid w:val="49973E8B"/>
    <w:rsid w:val="49A46998"/>
    <w:rsid w:val="49B40BB7"/>
    <w:rsid w:val="49B73FFC"/>
    <w:rsid w:val="49B77E13"/>
    <w:rsid w:val="49BA09DD"/>
    <w:rsid w:val="49BB2EF2"/>
    <w:rsid w:val="49CA1C90"/>
    <w:rsid w:val="49D11BB5"/>
    <w:rsid w:val="49DE736B"/>
    <w:rsid w:val="49E61A93"/>
    <w:rsid w:val="49EC5081"/>
    <w:rsid w:val="49F12780"/>
    <w:rsid w:val="49F92964"/>
    <w:rsid w:val="49FC2EDC"/>
    <w:rsid w:val="4A062298"/>
    <w:rsid w:val="4A087D32"/>
    <w:rsid w:val="4A0919B5"/>
    <w:rsid w:val="4A0A0909"/>
    <w:rsid w:val="4A1A2584"/>
    <w:rsid w:val="4A1A6BBA"/>
    <w:rsid w:val="4A3B5258"/>
    <w:rsid w:val="4A4E3365"/>
    <w:rsid w:val="4A5362A8"/>
    <w:rsid w:val="4A5438FD"/>
    <w:rsid w:val="4A6135B0"/>
    <w:rsid w:val="4A6D7ABE"/>
    <w:rsid w:val="4A7D1C6B"/>
    <w:rsid w:val="4A824992"/>
    <w:rsid w:val="4A83685D"/>
    <w:rsid w:val="4A8450E5"/>
    <w:rsid w:val="4AA24AC6"/>
    <w:rsid w:val="4AAB4FE7"/>
    <w:rsid w:val="4AB469C8"/>
    <w:rsid w:val="4ABB5B47"/>
    <w:rsid w:val="4ACE0864"/>
    <w:rsid w:val="4AD0667C"/>
    <w:rsid w:val="4AD420F1"/>
    <w:rsid w:val="4AD619F8"/>
    <w:rsid w:val="4AD67BBF"/>
    <w:rsid w:val="4AD818BF"/>
    <w:rsid w:val="4AE27A62"/>
    <w:rsid w:val="4AE3237E"/>
    <w:rsid w:val="4AEA04BB"/>
    <w:rsid w:val="4AEC205D"/>
    <w:rsid w:val="4AF6071C"/>
    <w:rsid w:val="4AF674F2"/>
    <w:rsid w:val="4AFB5B56"/>
    <w:rsid w:val="4B067AE1"/>
    <w:rsid w:val="4B0C77CE"/>
    <w:rsid w:val="4B1278B1"/>
    <w:rsid w:val="4B1B2754"/>
    <w:rsid w:val="4B285ADE"/>
    <w:rsid w:val="4B2F02E1"/>
    <w:rsid w:val="4B3207BC"/>
    <w:rsid w:val="4B3A77FB"/>
    <w:rsid w:val="4B420FDD"/>
    <w:rsid w:val="4B431541"/>
    <w:rsid w:val="4B432624"/>
    <w:rsid w:val="4B59690B"/>
    <w:rsid w:val="4B864D16"/>
    <w:rsid w:val="4B8A111C"/>
    <w:rsid w:val="4B8D7F7C"/>
    <w:rsid w:val="4B935731"/>
    <w:rsid w:val="4B946297"/>
    <w:rsid w:val="4BB0001D"/>
    <w:rsid w:val="4BCA1D44"/>
    <w:rsid w:val="4BCD1A0B"/>
    <w:rsid w:val="4BE9256F"/>
    <w:rsid w:val="4C054B90"/>
    <w:rsid w:val="4C065348"/>
    <w:rsid w:val="4C091AB2"/>
    <w:rsid w:val="4C0F1B6F"/>
    <w:rsid w:val="4C104D11"/>
    <w:rsid w:val="4C1058DD"/>
    <w:rsid w:val="4C184D41"/>
    <w:rsid w:val="4C1F2AAF"/>
    <w:rsid w:val="4C277E96"/>
    <w:rsid w:val="4C297118"/>
    <w:rsid w:val="4C31630B"/>
    <w:rsid w:val="4C372104"/>
    <w:rsid w:val="4C3F61A7"/>
    <w:rsid w:val="4C4125BE"/>
    <w:rsid w:val="4C450E5D"/>
    <w:rsid w:val="4C5A7CAB"/>
    <w:rsid w:val="4C687FF3"/>
    <w:rsid w:val="4C6D440F"/>
    <w:rsid w:val="4C7A6658"/>
    <w:rsid w:val="4C7E349B"/>
    <w:rsid w:val="4C8A46A7"/>
    <w:rsid w:val="4C8B32F1"/>
    <w:rsid w:val="4C8D7854"/>
    <w:rsid w:val="4C900FC1"/>
    <w:rsid w:val="4CB04922"/>
    <w:rsid w:val="4CB30BC8"/>
    <w:rsid w:val="4CB30FE5"/>
    <w:rsid w:val="4CBE4932"/>
    <w:rsid w:val="4CC062F3"/>
    <w:rsid w:val="4CCF1B84"/>
    <w:rsid w:val="4CD33B34"/>
    <w:rsid w:val="4CDE6C51"/>
    <w:rsid w:val="4CE60D87"/>
    <w:rsid w:val="4CF41BFE"/>
    <w:rsid w:val="4CFC4C38"/>
    <w:rsid w:val="4CFF642D"/>
    <w:rsid w:val="4D005A19"/>
    <w:rsid w:val="4D0267F4"/>
    <w:rsid w:val="4D0829A8"/>
    <w:rsid w:val="4D0E5BBE"/>
    <w:rsid w:val="4D1779E8"/>
    <w:rsid w:val="4D1E66A6"/>
    <w:rsid w:val="4D226093"/>
    <w:rsid w:val="4D457128"/>
    <w:rsid w:val="4D483972"/>
    <w:rsid w:val="4D4E0925"/>
    <w:rsid w:val="4D4E140A"/>
    <w:rsid w:val="4D5106A2"/>
    <w:rsid w:val="4D5B39A9"/>
    <w:rsid w:val="4D600525"/>
    <w:rsid w:val="4D6171A9"/>
    <w:rsid w:val="4D662F0C"/>
    <w:rsid w:val="4D673DB9"/>
    <w:rsid w:val="4D6C5202"/>
    <w:rsid w:val="4D720028"/>
    <w:rsid w:val="4D7C21E2"/>
    <w:rsid w:val="4D7D4677"/>
    <w:rsid w:val="4D7F759C"/>
    <w:rsid w:val="4D896BAF"/>
    <w:rsid w:val="4D921F76"/>
    <w:rsid w:val="4D93276D"/>
    <w:rsid w:val="4D971E47"/>
    <w:rsid w:val="4DA413FF"/>
    <w:rsid w:val="4DA415D9"/>
    <w:rsid w:val="4DAB3423"/>
    <w:rsid w:val="4DAE2008"/>
    <w:rsid w:val="4DB24DF6"/>
    <w:rsid w:val="4DB3753C"/>
    <w:rsid w:val="4DB417DF"/>
    <w:rsid w:val="4DB74BF7"/>
    <w:rsid w:val="4DB80685"/>
    <w:rsid w:val="4DCE5F4C"/>
    <w:rsid w:val="4DEC52F2"/>
    <w:rsid w:val="4DF8403C"/>
    <w:rsid w:val="4DFC640D"/>
    <w:rsid w:val="4E030AEA"/>
    <w:rsid w:val="4E0F4D79"/>
    <w:rsid w:val="4E277D26"/>
    <w:rsid w:val="4E2A6FE5"/>
    <w:rsid w:val="4E324379"/>
    <w:rsid w:val="4E352A9C"/>
    <w:rsid w:val="4E3615A7"/>
    <w:rsid w:val="4E361B6D"/>
    <w:rsid w:val="4E386778"/>
    <w:rsid w:val="4E4A3FBA"/>
    <w:rsid w:val="4E4B415D"/>
    <w:rsid w:val="4E61657A"/>
    <w:rsid w:val="4E710E5C"/>
    <w:rsid w:val="4E7E59C0"/>
    <w:rsid w:val="4E81269C"/>
    <w:rsid w:val="4E8E12B1"/>
    <w:rsid w:val="4E975CCA"/>
    <w:rsid w:val="4E9C403B"/>
    <w:rsid w:val="4EA82617"/>
    <w:rsid w:val="4EAF224E"/>
    <w:rsid w:val="4EB574F8"/>
    <w:rsid w:val="4EBC2C07"/>
    <w:rsid w:val="4EC36056"/>
    <w:rsid w:val="4EC760CD"/>
    <w:rsid w:val="4ECB3484"/>
    <w:rsid w:val="4ED94C5E"/>
    <w:rsid w:val="4EDC62BD"/>
    <w:rsid w:val="4EE44F81"/>
    <w:rsid w:val="4EE4798A"/>
    <w:rsid w:val="4EE626BA"/>
    <w:rsid w:val="4EEB1CED"/>
    <w:rsid w:val="4EFA420F"/>
    <w:rsid w:val="4EFB11DF"/>
    <w:rsid w:val="4EFB377E"/>
    <w:rsid w:val="4EFF67F2"/>
    <w:rsid w:val="4F0F7757"/>
    <w:rsid w:val="4F150B75"/>
    <w:rsid w:val="4F163663"/>
    <w:rsid w:val="4F1C22BD"/>
    <w:rsid w:val="4F1C6E11"/>
    <w:rsid w:val="4F1E0A50"/>
    <w:rsid w:val="4F207B29"/>
    <w:rsid w:val="4F2365F6"/>
    <w:rsid w:val="4F2A4EC1"/>
    <w:rsid w:val="4F2C3CB1"/>
    <w:rsid w:val="4F332D3A"/>
    <w:rsid w:val="4F3363A7"/>
    <w:rsid w:val="4F34334A"/>
    <w:rsid w:val="4F373A05"/>
    <w:rsid w:val="4F475B51"/>
    <w:rsid w:val="4F480E4C"/>
    <w:rsid w:val="4F612E30"/>
    <w:rsid w:val="4F615856"/>
    <w:rsid w:val="4F6F621F"/>
    <w:rsid w:val="4F6F6FB6"/>
    <w:rsid w:val="4F7D308D"/>
    <w:rsid w:val="4F864F41"/>
    <w:rsid w:val="4F873904"/>
    <w:rsid w:val="4F90024E"/>
    <w:rsid w:val="4F934BD1"/>
    <w:rsid w:val="4F993FCC"/>
    <w:rsid w:val="4F9E14E6"/>
    <w:rsid w:val="4F9E5CAD"/>
    <w:rsid w:val="4FA832C0"/>
    <w:rsid w:val="4FB33796"/>
    <w:rsid w:val="4FB813CB"/>
    <w:rsid w:val="4FBD37D7"/>
    <w:rsid w:val="4FD23F53"/>
    <w:rsid w:val="4FE70A00"/>
    <w:rsid w:val="4FE720BD"/>
    <w:rsid w:val="4FE778A0"/>
    <w:rsid w:val="50031D93"/>
    <w:rsid w:val="50037BCE"/>
    <w:rsid w:val="50037F41"/>
    <w:rsid w:val="500E5CE5"/>
    <w:rsid w:val="500F67B4"/>
    <w:rsid w:val="50115149"/>
    <w:rsid w:val="502B45FC"/>
    <w:rsid w:val="503A3B82"/>
    <w:rsid w:val="503C5EB0"/>
    <w:rsid w:val="50514C1C"/>
    <w:rsid w:val="50527B09"/>
    <w:rsid w:val="505A1FF9"/>
    <w:rsid w:val="505D69A6"/>
    <w:rsid w:val="506E2B30"/>
    <w:rsid w:val="506F6AAD"/>
    <w:rsid w:val="50770645"/>
    <w:rsid w:val="50775342"/>
    <w:rsid w:val="50811B7B"/>
    <w:rsid w:val="50931AFE"/>
    <w:rsid w:val="5093597A"/>
    <w:rsid w:val="50983437"/>
    <w:rsid w:val="50AD2A1F"/>
    <w:rsid w:val="50CB337E"/>
    <w:rsid w:val="50CF0B69"/>
    <w:rsid w:val="50D20D94"/>
    <w:rsid w:val="50D36092"/>
    <w:rsid w:val="50DA24D6"/>
    <w:rsid w:val="50DC2B5E"/>
    <w:rsid w:val="50E35007"/>
    <w:rsid w:val="50F30F92"/>
    <w:rsid w:val="50F365E0"/>
    <w:rsid w:val="50F53AF1"/>
    <w:rsid w:val="51066B99"/>
    <w:rsid w:val="5107553B"/>
    <w:rsid w:val="5115268F"/>
    <w:rsid w:val="511575E7"/>
    <w:rsid w:val="51196D64"/>
    <w:rsid w:val="512E6BD7"/>
    <w:rsid w:val="513E1FC2"/>
    <w:rsid w:val="5144761D"/>
    <w:rsid w:val="5148519A"/>
    <w:rsid w:val="514B301B"/>
    <w:rsid w:val="51542293"/>
    <w:rsid w:val="51565874"/>
    <w:rsid w:val="515975C0"/>
    <w:rsid w:val="515F38FA"/>
    <w:rsid w:val="51667204"/>
    <w:rsid w:val="51670296"/>
    <w:rsid w:val="516717C4"/>
    <w:rsid w:val="516B5761"/>
    <w:rsid w:val="517E00F0"/>
    <w:rsid w:val="5184401E"/>
    <w:rsid w:val="51943AAA"/>
    <w:rsid w:val="51A14D8A"/>
    <w:rsid w:val="51B00BF1"/>
    <w:rsid w:val="51B60511"/>
    <w:rsid w:val="51BB7B4F"/>
    <w:rsid w:val="51C2466A"/>
    <w:rsid w:val="51DD41F3"/>
    <w:rsid w:val="51EB1612"/>
    <w:rsid w:val="51EF4DB5"/>
    <w:rsid w:val="51F55024"/>
    <w:rsid w:val="5201327D"/>
    <w:rsid w:val="52104DDF"/>
    <w:rsid w:val="522F1506"/>
    <w:rsid w:val="5234212A"/>
    <w:rsid w:val="523D2419"/>
    <w:rsid w:val="523F5ED5"/>
    <w:rsid w:val="52574377"/>
    <w:rsid w:val="525B0838"/>
    <w:rsid w:val="526819C8"/>
    <w:rsid w:val="52754056"/>
    <w:rsid w:val="527C3FF3"/>
    <w:rsid w:val="52874272"/>
    <w:rsid w:val="528A7E23"/>
    <w:rsid w:val="529464C3"/>
    <w:rsid w:val="529D4639"/>
    <w:rsid w:val="52A50E75"/>
    <w:rsid w:val="52A922E7"/>
    <w:rsid w:val="52B34242"/>
    <w:rsid w:val="52B565F9"/>
    <w:rsid w:val="52BC2B39"/>
    <w:rsid w:val="52BD7DAA"/>
    <w:rsid w:val="52C17CEE"/>
    <w:rsid w:val="52C44B35"/>
    <w:rsid w:val="52CE6E26"/>
    <w:rsid w:val="52D4455E"/>
    <w:rsid w:val="52D73B67"/>
    <w:rsid w:val="52E355E8"/>
    <w:rsid w:val="52EB5146"/>
    <w:rsid w:val="52FA02DA"/>
    <w:rsid w:val="53030D15"/>
    <w:rsid w:val="53140EC7"/>
    <w:rsid w:val="5320407C"/>
    <w:rsid w:val="53213666"/>
    <w:rsid w:val="5324209A"/>
    <w:rsid w:val="53266E12"/>
    <w:rsid w:val="532A331B"/>
    <w:rsid w:val="532B5C57"/>
    <w:rsid w:val="53315181"/>
    <w:rsid w:val="5338101F"/>
    <w:rsid w:val="533E5926"/>
    <w:rsid w:val="534105ED"/>
    <w:rsid w:val="53641F8A"/>
    <w:rsid w:val="53677F32"/>
    <w:rsid w:val="536A15E9"/>
    <w:rsid w:val="536F714D"/>
    <w:rsid w:val="53806381"/>
    <w:rsid w:val="538722F9"/>
    <w:rsid w:val="53921506"/>
    <w:rsid w:val="53933D76"/>
    <w:rsid w:val="53983BB8"/>
    <w:rsid w:val="539A2D0E"/>
    <w:rsid w:val="539C6F9E"/>
    <w:rsid w:val="53A7060F"/>
    <w:rsid w:val="53AE0A13"/>
    <w:rsid w:val="53BA6A76"/>
    <w:rsid w:val="53BD7C3A"/>
    <w:rsid w:val="53BE2D0E"/>
    <w:rsid w:val="53C26860"/>
    <w:rsid w:val="53CD6A17"/>
    <w:rsid w:val="53DE0F37"/>
    <w:rsid w:val="53DF5C6A"/>
    <w:rsid w:val="53E727DD"/>
    <w:rsid w:val="53EA16F2"/>
    <w:rsid w:val="53ED6A06"/>
    <w:rsid w:val="53F315F6"/>
    <w:rsid w:val="53FB4B08"/>
    <w:rsid w:val="53FB6AE7"/>
    <w:rsid w:val="53FD721B"/>
    <w:rsid w:val="54030A05"/>
    <w:rsid w:val="540728A3"/>
    <w:rsid w:val="5409075A"/>
    <w:rsid w:val="540C02AA"/>
    <w:rsid w:val="540C5D56"/>
    <w:rsid w:val="540E0B80"/>
    <w:rsid w:val="54113338"/>
    <w:rsid w:val="54294E56"/>
    <w:rsid w:val="54362D54"/>
    <w:rsid w:val="5439051F"/>
    <w:rsid w:val="543A7E24"/>
    <w:rsid w:val="544347E8"/>
    <w:rsid w:val="54434A34"/>
    <w:rsid w:val="54442F39"/>
    <w:rsid w:val="54554BEE"/>
    <w:rsid w:val="54631517"/>
    <w:rsid w:val="547353D3"/>
    <w:rsid w:val="547561B2"/>
    <w:rsid w:val="547907CF"/>
    <w:rsid w:val="547D50AD"/>
    <w:rsid w:val="549528B9"/>
    <w:rsid w:val="54A00E45"/>
    <w:rsid w:val="54A613EC"/>
    <w:rsid w:val="54A834E3"/>
    <w:rsid w:val="54B2567B"/>
    <w:rsid w:val="54BD12DC"/>
    <w:rsid w:val="54BF10E9"/>
    <w:rsid w:val="54CF2B22"/>
    <w:rsid w:val="54D038C9"/>
    <w:rsid w:val="54DB52D6"/>
    <w:rsid w:val="54DB7EF6"/>
    <w:rsid w:val="54EA7F84"/>
    <w:rsid w:val="54ED4DCE"/>
    <w:rsid w:val="54FA2ED1"/>
    <w:rsid w:val="54FB63AD"/>
    <w:rsid w:val="551B19F3"/>
    <w:rsid w:val="55280416"/>
    <w:rsid w:val="5531035B"/>
    <w:rsid w:val="553C1072"/>
    <w:rsid w:val="553D0930"/>
    <w:rsid w:val="554E444D"/>
    <w:rsid w:val="555B40E5"/>
    <w:rsid w:val="5566658B"/>
    <w:rsid w:val="55696243"/>
    <w:rsid w:val="556E7977"/>
    <w:rsid w:val="55846F0C"/>
    <w:rsid w:val="55857D79"/>
    <w:rsid w:val="558E04E4"/>
    <w:rsid w:val="558F6089"/>
    <w:rsid w:val="55966ACB"/>
    <w:rsid w:val="559702F9"/>
    <w:rsid w:val="559813CA"/>
    <w:rsid w:val="55A31B64"/>
    <w:rsid w:val="55AD4BB3"/>
    <w:rsid w:val="55B01AA7"/>
    <w:rsid w:val="55BA220D"/>
    <w:rsid w:val="55BB7620"/>
    <w:rsid w:val="55C3524B"/>
    <w:rsid w:val="55C401E8"/>
    <w:rsid w:val="55C4395B"/>
    <w:rsid w:val="55C84F6B"/>
    <w:rsid w:val="55CE7C03"/>
    <w:rsid w:val="55D4010C"/>
    <w:rsid w:val="55D95B3A"/>
    <w:rsid w:val="55DB4D41"/>
    <w:rsid w:val="55DD7948"/>
    <w:rsid w:val="55E81558"/>
    <w:rsid w:val="55ED0BBC"/>
    <w:rsid w:val="55F83AFC"/>
    <w:rsid w:val="56096419"/>
    <w:rsid w:val="560F7614"/>
    <w:rsid w:val="561C2AD3"/>
    <w:rsid w:val="561D3124"/>
    <w:rsid w:val="56242342"/>
    <w:rsid w:val="562B7CA4"/>
    <w:rsid w:val="564C7E4B"/>
    <w:rsid w:val="56526EF6"/>
    <w:rsid w:val="5655623B"/>
    <w:rsid w:val="565A7684"/>
    <w:rsid w:val="565A7ABF"/>
    <w:rsid w:val="565B30AD"/>
    <w:rsid w:val="565F6C26"/>
    <w:rsid w:val="567B1EBF"/>
    <w:rsid w:val="56805849"/>
    <w:rsid w:val="568B0FAC"/>
    <w:rsid w:val="568B1BBE"/>
    <w:rsid w:val="568E6209"/>
    <w:rsid w:val="56AF10CB"/>
    <w:rsid w:val="56BF3DA2"/>
    <w:rsid w:val="56C10A03"/>
    <w:rsid w:val="56CD4F87"/>
    <w:rsid w:val="56D873CC"/>
    <w:rsid w:val="56DD0842"/>
    <w:rsid w:val="56E274FC"/>
    <w:rsid w:val="56E700DA"/>
    <w:rsid w:val="56E929A7"/>
    <w:rsid w:val="56F1617B"/>
    <w:rsid w:val="56F47D63"/>
    <w:rsid w:val="56F968BE"/>
    <w:rsid w:val="56FB7D57"/>
    <w:rsid w:val="57023D2C"/>
    <w:rsid w:val="570723FE"/>
    <w:rsid w:val="572332AC"/>
    <w:rsid w:val="572824B0"/>
    <w:rsid w:val="57312173"/>
    <w:rsid w:val="57384F32"/>
    <w:rsid w:val="57502131"/>
    <w:rsid w:val="575E2F66"/>
    <w:rsid w:val="57683C5C"/>
    <w:rsid w:val="576A51B8"/>
    <w:rsid w:val="5771508A"/>
    <w:rsid w:val="57723CE9"/>
    <w:rsid w:val="5774374C"/>
    <w:rsid w:val="577E15AC"/>
    <w:rsid w:val="578248CE"/>
    <w:rsid w:val="578523F5"/>
    <w:rsid w:val="57910904"/>
    <w:rsid w:val="579A45BF"/>
    <w:rsid w:val="57A714CF"/>
    <w:rsid w:val="57AD74D2"/>
    <w:rsid w:val="57B969E5"/>
    <w:rsid w:val="57C05959"/>
    <w:rsid w:val="57C2449E"/>
    <w:rsid w:val="57C25890"/>
    <w:rsid w:val="57CC5188"/>
    <w:rsid w:val="57D9441E"/>
    <w:rsid w:val="57DC745F"/>
    <w:rsid w:val="57DE6B6D"/>
    <w:rsid w:val="57ED7FC8"/>
    <w:rsid w:val="57F163DD"/>
    <w:rsid w:val="57F2688B"/>
    <w:rsid w:val="57F847A9"/>
    <w:rsid w:val="57F9728F"/>
    <w:rsid w:val="58090AF2"/>
    <w:rsid w:val="580D258A"/>
    <w:rsid w:val="581D2619"/>
    <w:rsid w:val="5825764D"/>
    <w:rsid w:val="582C1622"/>
    <w:rsid w:val="582E1203"/>
    <w:rsid w:val="58390E12"/>
    <w:rsid w:val="5849037B"/>
    <w:rsid w:val="584A09C6"/>
    <w:rsid w:val="584B50A1"/>
    <w:rsid w:val="585301C0"/>
    <w:rsid w:val="585623D1"/>
    <w:rsid w:val="585C30EC"/>
    <w:rsid w:val="585E025F"/>
    <w:rsid w:val="58642D4C"/>
    <w:rsid w:val="5865560F"/>
    <w:rsid w:val="587C7F8D"/>
    <w:rsid w:val="58885EA4"/>
    <w:rsid w:val="588C12BF"/>
    <w:rsid w:val="588F40A7"/>
    <w:rsid w:val="589F5FAE"/>
    <w:rsid w:val="58A033D1"/>
    <w:rsid w:val="58A61464"/>
    <w:rsid w:val="58A87DB5"/>
    <w:rsid w:val="58C370EF"/>
    <w:rsid w:val="58CC52DD"/>
    <w:rsid w:val="58CD2F96"/>
    <w:rsid w:val="58D43CD3"/>
    <w:rsid w:val="58D74881"/>
    <w:rsid w:val="58DB1C06"/>
    <w:rsid w:val="58E23051"/>
    <w:rsid w:val="58E5366B"/>
    <w:rsid w:val="58E56358"/>
    <w:rsid w:val="58EB3E72"/>
    <w:rsid w:val="58FD74A5"/>
    <w:rsid w:val="58FE29E8"/>
    <w:rsid w:val="590029F9"/>
    <w:rsid w:val="59031B36"/>
    <w:rsid w:val="59032CDE"/>
    <w:rsid w:val="59056B45"/>
    <w:rsid w:val="59216756"/>
    <w:rsid w:val="594313FB"/>
    <w:rsid w:val="5949402F"/>
    <w:rsid w:val="594D669F"/>
    <w:rsid w:val="594F41F4"/>
    <w:rsid w:val="595529B5"/>
    <w:rsid w:val="596B5651"/>
    <w:rsid w:val="59741D17"/>
    <w:rsid w:val="597434E6"/>
    <w:rsid w:val="597A66A5"/>
    <w:rsid w:val="59936452"/>
    <w:rsid w:val="599E2608"/>
    <w:rsid w:val="59A0270D"/>
    <w:rsid w:val="59A414C7"/>
    <w:rsid w:val="59AD4CC6"/>
    <w:rsid w:val="59AF63E8"/>
    <w:rsid w:val="59B747B0"/>
    <w:rsid w:val="59B935B4"/>
    <w:rsid w:val="59BB0AC6"/>
    <w:rsid w:val="59CB2281"/>
    <w:rsid w:val="59D02384"/>
    <w:rsid w:val="59DE2BB8"/>
    <w:rsid w:val="59DE49FC"/>
    <w:rsid w:val="59E14949"/>
    <w:rsid w:val="59ED37B0"/>
    <w:rsid w:val="59EE367F"/>
    <w:rsid w:val="59F12FE3"/>
    <w:rsid w:val="59FB27AA"/>
    <w:rsid w:val="5A047D73"/>
    <w:rsid w:val="5A1A459C"/>
    <w:rsid w:val="5A1F005A"/>
    <w:rsid w:val="5A32261F"/>
    <w:rsid w:val="5A3D2472"/>
    <w:rsid w:val="5A414CC5"/>
    <w:rsid w:val="5A44027D"/>
    <w:rsid w:val="5A473261"/>
    <w:rsid w:val="5A591A73"/>
    <w:rsid w:val="5A5E77DC"/>
    <w:rsid w:val="5A610BFB"/>
    <w:rsid w:val="5A6640E9"/>
    <w:rsid w:val="5A6C559A"/>
    <w:rsid w:val="5A6F39CD"/>
    <w:rsid w:val="5A7075CC"/>
    <w:rsid w:val="5A8A15ED"/>
    <w:rsid w:val="5A916BC8"/>
    <w:rsid w:val="5A9538E2"/>
    <w:rsid w:val="5A9B43C0"/>
    <w:rsid w:val="5AA37666"/>
    <w:rsid w:val="5AB039F9"/>
    <w:rsid w:val="5AB679FF"/>
    <w:rsid w:val="5ABF5984"/>
    <w:rsid w:val="5AC27426"/>
    <w:rsid w:val="5ACB04D1"/>
    <w:rsid w:val="5ADB66F9"/>
    <w:rsid w:val="5AE02EC6"/>
    <w:rsid w:val="5AE1131E"/>
    <w:rsid w:val="5AE517F0"/>
    <w:rsid w:val="5B0E1A51"/>
    <w:rsid w:val="5B154949"/>
    <w:rsid w:val="5B166AFC"/>
    <w:rsid w:val="5B3507C5"/>
    <w:rsid w:val="5B3F3479"/>
    <w:rsid w:val="5B415C02"/>
    <w:rsid w:val="5B4368C9"/>
    <w:rsid w:val="5B445180"/>
    <w:rsid w:val="5B4D41D1"/>
    <w:rsid w:val="5B625D3F"/>
    <w:rsid w:val="5B653583"/>
    <w:rsid w:val="5B6F0879"/>
    <w:rsid w:val="5B7567BE"/>
    <w:rsid w:val="5B7642E2"/>
    <w:rsid w:val="5B7A7DD0"/>
    <w:rsid w:val="5B921C1D"/>
    <w:rsid w:val="5B932549"/>
    <w:rsid w:val="5B935AB5"/>
    <w:rsid w:val="5BA049A7"/>
    <w:rsid w:val="5BAC6105"/>
    <w:rsid w:val="5BAE1DF1"/>
    <w:rsid w:val="5BC509B8"/>
    <w:rsid w:val="5BC7657C"/>
    <w:rsid w:val="5BC8023B"/>
    <w:rsid w:val="5BDC0332"/>
    <w:rsid w:val="5BE05644"/>
    <w:rsid w:val="5BEC4B97"/>
    <w:rsid w:val="5BFE3BEA"/>
    <w:rsid w:val="5C0F2236"/>
    <w:rsid w:val="5C1556F6"/>
    <w:rsid w:val="5C19476B"/>
    <w:rsid w:val="5C1A5500"/>
    <w:rsid w:val="5C1E08E3"/>
    <w:rsid w:val="5C2210F7"/>
    <w:rsid w:val="5C28486D"/>
    <w:rsid w:val="5C2F2354"/>
    <w:rsid w:val="5C3F0EBE"/>
    <w:rsid w:val="5C493261"/>
    <w:rsid w:val="5C4C0029"/>
    <w:rsid w:val="5C540C20"/>
    <w:rsid w:val="5C63395F"/>
    <w:rsid w:val="5C7040ED"/>
    <w:rsid w:val="5C705650"/>
    <w:rsid w:val="5C7953A1"/>
    <w:rsid w:val="5C7C6BED"/>
    <w:rsid w:val="5C980121"/>
    <w:rsid w:val="5C9C425A"/>
    <w:rsid w:val="5CB07C43"/>
    <w:rsid w:val="5CB272A4"/>
    <w:rsid w:val="5CBC01EA"/>
    <w:rsid w:val="5CD97BA0"/>
    <w:rsid w:val="5CE544FE"/>
    <w:rsid w:val="5CEC0405"/>
    <w:rsid w:val="5CEC4B10"/>
    <w:rsid w:val="5CED4BC4"/>
    <w:rsid w:val="5CF24407"/>
    <w:rsid w:val="5CF514DE"/>
    <w:rsid w:val="5CF722D6"/>
    <w:rsid w:val="5CFB06FE"/>
    <w:rsid w:val="5CFE14B6"/>
    <w:rsid w:val="5D01095C"/>
    <w:rsid w:val="5D01770B"/>
    <w:rsid w:val="5D0D54CC"/>
    <w:rsid w:val="5D1216CC"/>
    <w:rsid w:val="5D1B6AC2"/>
    <w:rsid w:val="5D2E6485"/>
    <w:rsid w:val="5D372B22"/>
    <w:rsid w:val="5D3C6730"/>
    <w:rsid w:val="5D430C3A"/>
    <w:rsid w:val="5D4800F7"/>
    <w:rsid w:val="5D4D4FDF"/>
    <w:rsid w:val="5D5F32C1"/>
    <w:rsid w:val="5D644128"/>
    <w:rsid w:val="5D6527B6"/>
    <w:rsid w:val="5D725133"/>
    <w:rsid w:val="5D7B2D26"/>
    <w:rsid w:val="5D7C5E9C"/>
    <w:rsid w:val="5D7F656E"/>
    <w:rsid w:val="5D8F5D8E"/>
    <w:rsid w:val="5D9303BA"/>
    <w:rsid w:val="5D9468BF"/>
    <w:rsid w:val="5D946C25"/>
    <w:rsid w:val="5D982C48"/>
    <w:rsid w:val="5DA76894"/>
    <w:rsid w:val="5DAE7B5F"/>
    <w:rsid w:val="5DB17CCE"/>
    <w:rsid w:val="5DB347B4"/>
    <w:rsid w:val="5DB61136"/>
    <w:rsid w:val="5DBB4401"/>
    <w:rsid w:val="5DC7406E"/>
    <w:rsid w:val="5DD67E32"/>
    <w:rsid w:val="5DEB6B6E"/>
    <w:rsid w:val="5DEE2132"/>
    <w:rsid w:val="5DEF5103"/>
    <w:rsid w:val="5DF94120"/>
    <w:rsid w:val="5DFA7198"/>
    <w:rsid w:val="5E0C705C"/>
    <w:rsid w:val="5E0D271C"/>
    <w:rsid w:val="5E145B57"/>
    <w:rsid w:val="5E1D727A"/>
    <w:rsid w:val="5E1E4F2B"/>
    <w:rsid w:val="5E2322A3"/>
    <w:rsid w:val="5E2E0A3E"/>
    <w:rsid w:val="5E2F6CA4"/>
    <w:rsid w:val="5E372AE9"/>
    <w:rsid w:val="5E410513"/>
    <w:rsid w:val="5E4C0165"/>
    <w:rsid w:val="5E4D01B7"/>
    <w:rsid w:val="5E543A5F"/>
    <w:rsid w:val="5E555EF9"/>
    <w:rsid w:val="5E5E33EF"/>
    <w:rsid w:val="5E6A1142"/>
    <w:rsid w:val="5E6F372D"/>
    <w:rsid w:val="5E7156F9"/>
    <w:rsid w:val="5E770F2B"/>
    <w:rsid w:val="5E7D5C44"/>
    <w:rsid w:val="5E7E57B6"/>
    <w:rsid w:val="5E867C15"/>
    <w:rsid w:val="5E884035"/>
    <w:rsid w:val="5E8C2D27"/>
    <w:rsid w:val="5E9920CE"/>
    <w:rsid w:val="5E9A2006"/>
    <w:rsid w:val="5E9C6FA8"/>
    <w:rsid w:val="5EAB2D0F"/>
    <w:rsid w:val="5EB81B21"/>
    <w:rsid w:val="5EBD54E1"/>
    <w:rsid w:val="5EC02201"/>
    <w:rsid w:val="5EC05DA4"/>
    <w:rsid w:val="5EC57012"/>
    <w:rsid w:val="5EE271B3"/>
    <w:rsid w:val="5EE31F4E"/>
    <w:rsid w:val="5EE91298"/>
    <w:rsid w:val="5EEB3B29"/>
    <w:rsid w:val="5EF2799D"/>
    <w:rsid w:val="5EF50FD4"/>
    <w:rsid w:val="5EF55A5C"/>
    <w:rsid w:val="5EF614CD"/>
    <w:rsid w:val="5EFD198E"/>
    <w:rsid w:val="5F050A54"/>
    <w:rsid w:val="5F0A7D16"/>
    <w:rsid w:val="5F0C5BCA"/>
    <w:rsid w:val="5F123FE3"/>
    <w:rsid w:val="5F207AC9"/>
    <w:rsid w:val="5F216BAC"/>
    <w:rsid w:val="5F220CB1"/>
    <w:rsid w:val="5F282486"/>
    <w:rsid w:val="5F294A3A"/>
    <w:rsid w:val="5F3659FF"/>
    <w:rsid w:val="5F3E2A4E"/>
    <w:rsid w:val="5F473A04"/>
    <w:rsid w:val="5F4A306E"/>
    <w:rsid w:val="5F4D0F9B"/>
    <w:rsid w:val="5F510BEA"/>
    <w:rsid w:val="5F512612"/>
    <w:rsid w:val="5F5755BC"/>
    <w:rsid w:val="5F5C7B57"/>
    <w:rsid w:val="5F611984"/>
    <w:rsid w:val="5F652BA8"/>
    <w:rsid w:val="5F6D5082"/>
    <w:rsid w:val="5F761C32"/>
    <w:rsid w:val="5F7932C5"/>
    <w:rsid w:val="5F8B364F"/>
    <w:rsid w:val="5F8D321D"/>
    <w:rsid w:val="5F9612D1"/>
    <w:rsid w:val="5F99147B"/>
    <w:rsid w:val="5F995752"/>
    <w:rsid w:val="5FA34EB7"/>
    <w:rsid w:val="5FAE59A2"/>
    <w:rsid w:val="5FBE6440"/>
    <w:rsid w:val="5FD34557"/>
    <w:rsid w:val="5FD5093E"/>
    <w:rsid w:val="5FEB686D"/>
    <w:rsid w:val="5FEB6A22"/>
    <w:rsid w:val="5FF31B4A"/>
    <w:rsid w:val="600C7F09"/>
    <w:rsid w:val="600F5237"/>
    <w:rsid w:val="601141AB"/>
    <w:rsid w:val="60167751"/>
    <w:rsid w:val="601B76D7"/>
    <w:rsid w:val="602861F0"/>
    <w:rsid w:val="60482EFA"/>
    <w:rsid w:val="604959D9"/>
    <w:rsid w:val="604A10A6"/>
    <w:rsid w:val="605C098D"/>
    <w:rsid w:val="60690CBC"/>
    <w:rsid w:val="60720664"/>
    <w:rsid w:val="60721C98"/>
    <w:rsid w:val="60784BAA"/>
    <w:rsid w:val="60796FD8"/>
    <w:rsid w:val="607E4C8F"/>
    <w:rsid w:val="608A629B"/>
    <w:rsid w:val="608B60DB"/>
    <w:rsid w:val="609B2ABF"/>
    <w:rsid w:val="609B2BFE"/>
    <w:rsid w:val="60A57474"/>
    <w:rsid w:val="60AF042B"/>
    <w:rsid w:val="60B3432B"/>
    <w:rsid w:val="60B858BB"/>
    <w:rsid w:val="60B902A5"/>
    <w:rsid w:val="60C3453F"/>
    <w:rsid w:val="60C61804"/>
    <w:rsid w:val="60D54F2D"/>
    <w:rsid w:val="60E32F73"/>
    <w:rsid w:val="60E64FB1"/>
    <w:rsid w:val="61004ABD"/>
    <w:rsid w:val="610B40B7"/>
    <w:rsid w:val="61136D2D"/>
    <w:rsid w:val="61140A92"/>
    <w:rsid w:val="61205288"/>
    <w:rsid w:val="61361361"/>
    <w:rsid w:val="613701B5"/>
    <w:rsid w:val="6145416B"/>
    <w:rsid w:val="6151207A"/>
    <w:rsid w:val="61587CA4"/>
    <w:rsid w:val="615D0933"/>
    <w:rsid w:val="615D305F"/>
    <w:rsid w:val="615D3449"/>
    <w:rsid w:val="61603872"/>
    <w:rsid w:val="616902E8"/>
    <w:rsid w:val="616E2A77"/>
    <w:rsid w:val="61725553"/>
    <w:rsid w:val="617554F4"/>
    <w:rsid w:val="617B25C9"/>
    <w:rsid w:val="617E56AC"/>
    <w:rsid w:val="61890594"/>
    <w:rsid w:val="619C5E9F"/>
    <w:rsid w:val="61A22246"/>
    <w:rsid w:val="61A249FD"/>
    <w:rsid w:val="61A43009"/>
    <w:rsid w:val="61A97A66"/>
    <w:rsid w:val="61AB577E"/>
    <w:rsid w:val="61BD42CE"/>
    <w:rsid w:val="61BF6568"/>
    <w:rsid w:val="61C06423"/>
    <w:rsid w:val="61C378B2"/>
    <w:rsid w:val="61C92A5B"/>
    <w:rsid w:val="61CE624E"/>
    <w:rsid w:val="61D21A20"/>
    <w:rsid w:val="61DF7F2E"/>
    <w:rsid w:val="61E20788"/>
    <w:rsid w:val="61E20FD0"/>
    <w:rsid w:val="61E51BE5"/>
    <w:rsid w:val="620501CF"/>
    <w:rsid w:val="62084970"/>
    <w:rsid w:val="62092479"/>
    <w:rsid w:val="620D5F72"/>
    <w:rsid w:val="621B2099"/>
    <w:rsid w:val="621B583E"/>
    <w:rsid w:val="621C5C01"/>
    <w:rsid w:val="62252497"/>
    <w:rsid w:val="62382803"/>
    <w:rsid w:val="624024CD"/>
    <w:rsid w:val="624D6F42"/>
    <w:rsid w:val="625375D5"/>
    <w:rsid w:val="62665FFE"/>
    <w:rsid w:val="6278613E"/>
    <w:rsid w:val="62874561"/>
    <w:rsid w:val="62921A11"/>
    <w:rsid w:val="629E6D3D"/>
    <w:rsid w:val="62AE329B"/>
    <w:rsid w:val="62B64A3F"/>
    <w:rsid w:val="62C118E1"/>
    <w:rsid w:val="62C4343C"/>
    <w:rsid w:val="62C67DDF"/>
    <w:rsid w:val="62C90390"/>
    <w:rsid w:val="62CC0CEF"/>
    <w:rsid w:val="62CC187C"/>
    <w:rsid w:val="62D748CC"/>
    <w:rsid w:val="62DC07C1"/>
    <w:rsid w:val="62EA3270"/>
    <w:rsid w:val="62ED0E29"/>
    <w:rsid w:val="62F619EA"/>
    <w:rsid w:val="63004EF7"/>
    <w:rsid w:val="630320B7"/>
    <w:rsid w:val="63063027"/>
    <w:rsid w:val="631A74EA"/>
    <w:rsid w:val="632519AF"/>
    <w:rsid w:val="63262F6E"/>
    <w:rsid w:val="632D0C7F"/>
    <w:rsid w:val="63477E3F"/>
    <w:rsid w:val="634D0981"/>
    <w:rsid w:val="634E46FB"/>
    <w:rsid w:val="634F0B95"/>
    <w:rsid w:val="635A7E0A"/>
    <w:rsid w:val="636A0D19"/>
    <w:rsid w:val="63787962"/>
    <w:rsid w:val="638127E2"/>
    <w:rsid w:val="63824D50"/>
    <w:rsid w:val="638E457E"/>
    <w:rsid w:val="6396681D"/>
    <w:rsid w:val="639B674C"/>
    <w:rsid w:val="639E485F"/>
    <w:rsid w:val="63AA0A31"/>
    <w:rsid w:val="63B873BE"/>
    <w:rsid w:val="63BB3DA2"/>
    <w:rsid w:val="63BC6CC1"/>
    <w:rsid w:val="63BE7BDD"/>
    <w:rsid w:val="63C5025D"/>
    <w:rsid w:val="63D1197B"/>
    <w:rsid w:val="63DF6396"/>
    <w:rsid w:val="63E113BA"/>
    <w:rsid w:val="63F92368"/>
    <w:rsid w:val="63FD00B6"/>
    <w:rsid w:val="63FD116B"/>
    <w:rsid w:val="640A6474"/>
    <w:rsid w:val="640E2073"/>
    <w:rsid w:val="642D3496"/>
    <w:rsid w:val="64310AA8"/>
    <w:rsid w:val="643E4AC1"/>
    <w:rsid w:val="64420D46"/>
    <w:rsid w:val="644F7035"/>
    <w:rsid w:val="64581482"/>
    <w:rsid w:val="645C498B"/>
    <w:rsid w:val="64601BCA"/>
    <w:rsid w:val="646A7EDD"/>
    <w:rsid w:val="64725309"/>
    <w:rsid w:val="647A160C"/>
    <w:rsid w:val="648406B1"/>
    <w:rsid w:val="64850FC5"/>
    <w:rsid w:val="648D6F6A"/>
    <w:rsid w:val="64945FB6"/>
    <w:rsid w:val="649540DC"/>
    <w:rsid w:val="649B32D7"/>
    <w:rsid w:val="64A54B11"/>
    <w:rsid w:val="64AB5169"/>
    <w:rsid w:val="64B35B76"/>
    <w:rsid w:val="64C7747A"/>
    <w:rsid w:val="64CC55B5"/>
    <w:rsid w:val="64D06456"/>
    <w:rsid w:val="64DB2B76"/>
    <w:rsid w:val="64DB70AA"/>
    <w:rsid w:val="64E7459D"/>
    <w:rsid w:val="64F3074B"/>
    <w:rsid w:val="64F95EEA"/>
    <w:rsid w:val="64FC0054"/>
    <w:rsid w:val="64FF43C3"/>
    <w:rsid w:val="65055B18"/>
    <w:rsid w:val="650D4A26"/>
    <w:rsid w:val="651631C1"/>
    <w:rsid w:val="652B0F7C"/>
    <w:rsid w:val="65413C40"/>
    <w:rsid w:val="65542C24"/>
    <w:rsid w:val="65646807"/>
    <w:rsid w:val="656A3AA0"/>
    <w:rsid w:val="657311C9"/>
    <w:rsid w:val="657C55EC"/>
    <w:rsid w:val="657E32C4"/>
    <w:rsid w:val="65820B3F"/>
    <w:rsid w:val="65821695"/>
    <w:rsid w:val="6584076D"/>
    <w:rsid w:val="65A01E32"/>
    <w:rsid w:val="65A05550"/>
    <w:rsid w:val="65AC032F"/>
    <w:rsid w:val="65B0135A"/>
    <w:rsid w:val="65B1615D"/>
    <w:rsid w:val="65B72F3D"/>
    <w:rsid w:val="65C16CB9"/>
    <w:rsid w:val="65C20B96"/>
    <w:rsid w:val="65D46F24"/>
    <w:rsid w:val="65DC01A0"/>
    <w:rsid w:val="65E855AB"/>
    <w:rsid w:val="65EA6448"/>
    <w:rsid w:val="65F16D88"/>
    <w:rsid w:val="65F454F6"/>
    <w:rsid w:val="65F72E23"/>
    <w:rsid w:val="66003152"/>
    <w:rsid w:val="66006D33"/>
    <w:rsid w:val="660D2876"/>
    <w:rsid w:val="66115C98"/>
    <w:rsid w:val="661D71F3"/>
    <w:rsid w:val="66213827"/>
    <w:rsid w:val="662C309A"/>
    <w:rsid w:val="662C400C"/>
    <w:rsid w:val="6634158B"/>
    <w:rsid w:val="66357330"/>
    <w:rsid w:val="663D15A4"/>
    <w:rsid w:val="664B5F05"/>
    <w:rsid w:val="665630B1"/>
    <w:rsid w:val="66615669"/>
    <w:rsid w:val="66623A55"/>
    <w:rsid w:val="666368FF"/>
    <w:rsid w:val="667714CB"/>
    <w:rsid w:val="66AA45F3"/>
    <w:rsid w:val="66AA4B3C"/>
    <w:rsid w:val="66AE05B8"/>
    <w:rsid w:val="66B95382"/>
    <w:rsid w:val="66BB7DE3"/>
    <w:rsid w:val="66BC654F"/>
    <w:rsid w:val="66BE3833"/>
    <w:rsid w:val="66BF5138"/>
    <w:rsid w:val="66C714A0"/>
    <w:rsid w:val="66C83D67"/>
    <w:rsid w:val="66DC6966"/>
    <w:rsid w:val="66F06968"/>
    <w:rsid w:val="66F84552"/>
    <w:rsid w:val="67034C47"/>
    <w:rsid w:val="672D0926"/>
    <w:rsid w:val="6735562E"/>
    <w:rsid w:val="67377E83"/>
    <w:rsid w:val="673D2F41"/>
    <w:rsid w:val="6740369C"/>
    <w:rsid w:val="674C5413"/>
    <w:rsid w:val="675C6C31"/>
    <w:rsid w:val="675E774A"/>
    <w:rsid w:val="676C31DE"/>
    <w:rsid w:val="67705278"/>
    <w:rsid w:val="67754F98"/>
    <w:rsid w:val="67811ED5"/>
    <w:rsid w:val="678614DF"/>
    <w:rsid w:val="67895196"/>
    <w:rsid w:val="678A085E"/>
    <w:rsid w:val="678B52EF"/>
    <w:rsid w:val="678E7244"/>
    <w:rsid w:val="679307A4"/>
    <w:rsid w:val="679A030F"/>
    <w:rsid w:val="679A4AA9"/>
    <w:rsid w:val="67A265D2"/>
    <w:rsid w:val="67B47A8D"/>
    <w:rsid w:val="67BE411B"/>
    <w:rsid w:val="67C2640D"/>
    <w:rsid w:val="67D05C3D"/>
    <w:rsid w:val="67DC7757"/>
    <w:rsid w:val="67E723DF"/>
    <w:rsid w:val="680775C3"/>
    <w:rsid w:val="681452F9"/>
    <w:rsid w:val="682158FB"/>
    <w:rsid w:val="682C134B"/>
    <w:rsid w:val="68355EAD"/>
    <w:rsid w:val="684E09CA"/>
    <w:rsid w:val="684E3A9C"/>
    <w:rsid w:val="68621E55"/>
    <w:rsid w:val="686B19FA"/>
    <w:rsid w:val="686C32C7"/>
    <w:rsid w:val="686D18F4"/>
    <w:rsid w:val="686F7BFC"/>
    <w:rsid w:val="68727C61"/>
    <w:rsid w:val="68782064"/>
    <w:rsid w:val="687A002D"/>
    <w:rsid w:val="68825691"/>
    <w:rsid w:val="689A312B"/>
    <w:rsid w:val="689F17B7"/>
    <w:rsid w:val="68A259A7"/>
    <w:rsid w:val="68A51722"/>
    <w:rsid w:val="68B27A3E"/>
    <w:rsid w:val="68BE1761"/>
    <w:rsid w:val="68CB1956"/>
    <w:rsid w:val="68EA04F8"/>
    <w:rsid w:val="68EE7418"/>
    <w:rsid w:val="690D74DA"/>
    <w:rsid w:val="690F592A"/>
    <w:rsid w:val="6913274D"/>
    <w:rsid w:val="69250329"/>
    <w:rsid w:val="692A7F3B"/>
    <w:rsid w:val="693567B4"/>
    <w:rsid w:val="693E2CA0"/>
    <w:rsid w:val="694651C0"/>
    <w:rsid w:val="694B5F41"/>
    <w:rsid w:val="6960498A"/>
    <w:rsid w:val="696609FE"/>
    <w:rsid w:val="69674AED"/>
    <w:rsid w:val="696962EF"/>
    <w:rsid w:val="69882D27"/>
    <w:rsid w:val="698867A6"/>
    <w:rsid w:val="69926167"/>
    <w:rsid w:val="699720D8"/>
    <w:rsid w:val="69993CB2"/>
    <w:rsid w:val="699B3C7B"/>
    <w:rsid w:val="699F221A"/>
    <w:rsid w:val="69A90ADE"/>
    <w:rsid w:val="69AC4B26"/>
    <w:rsid w:val="69B36094"/>
    <w:rsid w:val="69B53C31"/>
    <w:rsid w:val="69BA7387"/>
    <w:rsid w:val="69BD2603"/>
    <w:rsid w:val="69CA638E"/>
    <w:rsid w:val="69DC1438"/>
    <w:rsid w:val="69E5509B"/>
    <w:rsid w:val="69F162BE"/>
    <w:rsid w:val="69F342C5"/>
    <w:rsid w:val="69F439DE"/>
    <w:rsid w:val="6A0110C6"/>
    <w:rsid w:val="6A111A9E"/>
    <w:rsid w:val="6A1368B4"/>
    <w:rsid w:val="6A1B132A"/>
    <w:rsid w:val="6A1B72AA"/>
    <w:rsid w:val="6A1E4DB9"/>
    <w:rsid w:val="6A277007"/>
    <w:rsid w:val="6A2C0BAA"/>
    <w:rsid w:val="6A35624C"/>
    <w:rsid w:val="6A36768F"/>
    <w:rsid w:val="6A4C7706"/>
    <w:rsid w:val="6A4D277D"/>
    <w:rsid w:val="6A4E75E1"/>
    <w:rsid w:val="6A526445"/>
    <w:rsid w:val="6A5556A4"/>
    <w:rsid w:val="6A586EA6"/>
    <w:rsid w:val="6A605DDA"/>
    <w:rsid w:val="6A6B298C"/>
    <w:rsid w:val="6A6C35D2"/>
    <w:rsid w:val="6A706DFD"/>
    <w:rsid w:val="6A727FB2"/>
    <w:rsid w:val="6A807B60"/>
    <w:rsid w:val="6A837D1F"/>
    <w:rsid w:val="6A843A9F"/>
    <w:rsid w:val="6A8F7452"/>
    <w:rsid w:val="6A944AB4"/>
    <w:rsid w:val="6AA87ECA"/>
    <w:rsid w:val="6AC97BA3"/>
    <w:rsid w:val="6ACE33C6"/>
    <w:rsid w:val="6AE52B64"/>
    <w:rsid w:val="6AE60600"/>
    <w:rsid w:val="6AEC20D6"/>
    <w:rsid w:val="6AF16405"/>
    <w:rsid w:val="6B032E43"/>
    <w:rsid w:val="6B0C5BA0"/>
    <w:rsid w:val="6B123DBE"/>
    <w:rsid w:val="6B1627A9"/>
    <w:rsid w:val="6B1B4ADD"/>
    <w:rsid w:val="6B1C3EC9"/>
    <w:rsid w:val="6B22561B"/>
    <w:rsid w:val="6B2F268C"/>
    <w:rsid w:val="6B315AAF"/>
    <w:rsid w:val="6B3F4AA7"/>
    <w:rsid w:val="6B6E49C8"/>
    <w:rsid w:val="6B847B8A"/>
    <w:rsid w:val="6B881F4D"/>
    <w:rsid w:val="6B8B156F"/>
    <w:rsid w:val="6B904BA8"/>
    <w:rsid w:val="6B9476C7"/>
    <w:rsid w:val="6B9A6EAE"/>
    <w:rsid w:val="6BB721A3"/>
    <w:rsid w:val="6BD0153C"/>
    <w:rsid w:val="6BD63B45"/>
    <w:rsid w:val="6BD6780F"/>
    <w:rsid w:val="6BE043B6"/>
    <w:rsid w:val="6BE475D6"/>
    <w:rsid w:val="6BEC3A64"/>
    <w:rsid w:val="6BEF3535"/>
    <w:rsid w:val="6BF72EE6"/>
    <w:rsid w:val="6BF82E2B"/>
    <w:rsid w:val="6BFA52D4"/>
    <w:rsid w:val="6C0F17D1"/>
    <w:rsid w:val="6C155B13"/>
    <w:rsid w:val="6C1C3DAB"/>
    <w:rsid w:val="6C1F1724"/>
    <w:rsid w:val="6C215061"/>
    <w:rsid w:val="6C275E16"/>
    <w:rsid w:val="6C3504E0"/>
    <w:rsid w:val="6C3A75B7"/>
    <w:rsid w:val="6C3C4B97"/>
    <w:rsid w:val="6C4378AB"/>
    <w:rsid w:val="6C6146F0"/>
    <w:rsid w:val="6C66643F"/>
    <w:rsid w:val="6C681393"/>
    <w:rsid w:val="6C7D1B83"/>
    <w:rsid w:val="6C822766"/>
    <w:rsid w:val="6C8B44D8"/>
    <w:rsid w:val="6C9551C8"/>
    <w:rsid w:val="6CA34B51"/>
    <w:rsid w:val="6CB02AC4"/>
    <w:rsid w:val="6CB06BD8"/>
    <w:rsid w:val="6CC1003C"/>
    <w:rsid w:val="6CC3672F"/>
    <w:rsid w:val="6CC4690F"/>
    <w:rsid w:val="6CC66C12"/>
    <w:rsid w:val="6CC70534"/>
    <w:rsid w:val="6CCD75A4"/>
    <w:rsid w:val="6CCE7793"/>
    <w:rsid w:val="6CD05BB0"/>
    <w:rsid w:val="6CE44996"/>
    <w:rsid w:val="6CE54F3F"/>
    <w:rsid w:val="6CFD30A2"/>
    <w:rsid w:val="6CFF02E4"/>
    <w:rsid w:val="6D121104"/>
    <w:rsid w:val="6D164000"/>
    <w:rsid w:val="6D1F3697"/>
    <w:rsid w:val="6D214766"/>
    <w:rsid w:val="6D2C1EED"/>
    <w:rsid w:val="6D2E5BE8"/>
    <w:rsid w:val="6D351CC1"/>
    <w:rsid w:val="6D355423"/>
    <w:rsid w:val="6D3C54DB"/>
    <w:rsid w:val="6D4C3E84"/>
    <w:rsid w:val="6D5578B4"/>
    <w:rsid w:val="6D5811B7"/>
    <w:rsid w:val="6D5E1000"/>
    <w:rsid w:val="6D5F2BC1"/>
    <w:rsid w:val="6D63064A"/>
    <w:rsid w:val="6D637913"/>
    <w:rsid w:val="6D66370E"/>
    <w:rsid w:val="6D6B77C5"/>
    <w:rsid w:val="6D6E47FD"/>
    <w:rsid w:val="6D736519"/>
    <w:rsid w:val="6D7E1D62"/>
    <w:rsid w:val="6D9632E7"/>
    <w:rsid w:val="6DBB2348"/>
    <w:rsid w:val="6DC200A0"/>
    <w:rsid w:val="6DD41270"/>
    <w:rsid w:val="6DD9160C"/>
    <w:rsid w:val="6DD93C25"/>
    <w:rsid w:val="6DDC71D6"/>
    <w:rsid w:val="6DED5D72"/>
    <w:rsid w:val="6DED65AC"/>
    <w:rsid w:val="6DEF04EF"/>
    <w:rsid w:val="6DF25A8E"/>
    <w:rsid w:val="6DFD1AA7"/>
    <w:rsid w:val="6E06396A"/>
    <w:rsid w:val="6E0A4BF1"/>
    <w:rsid w:val="6E0D61DC"/>
    <w:rsid w:val="6E165481"/>
    <w:rsid w:val="6E1867CA"/>
    <w:rsid w:val="6E192139"/>
    <w:rsid w:val="6E1D35E6"/>
    <w:rsid w:val="6E1E1E8D"/>
    <w:rsid w:val="6E22382B"/>
    <w:rsid w:val="6E232273"/>
    <w:rsid w:val="6E297029"/>
    <w:rsid w:val="6E2F0271"/>
    <w:rsid w:val="6E4F2F3F"/>
    <w:rsid w:val="6E542161"/>
    <w:rsid w:val="6E58196B"/>
    <w:rsid w:val="6E6201ED"/>
    <w:rsid w:val="6E630B36"/>
    <w:rsid w:val="6E6978C4"/>
    <w:rsid w:val="6E703DB9"/>
    <w:rsid w:val="6E73645D"/>
    <w:rsid w:val="6E7C2BE3"/>
    <w:rsid w:val="6E7C56EB"/>
    <w:rsid w:val="6E8A4E74"/>
    <w:rsid w:val="6E8A564E"/>
    <w:rsid w:val="6E97515E"/>
    <w:rsid w:val="6E9E3B8A"/>
    <w:rsid w:val="6EA16C68"/>
    <w:rsid w:val="6EAB0E95"/>
    <w:rsid w:val="6EB048F2"/>
    <w:rsid w:val="6EB45C22"/>
    <w:rsid w:val="6EC40181"/>
    <w:rsid w:val="6EC85EBD"/>
    <w:rsid w:val="6ECB7332"/>
    <w:rsid w:val="6ECD04A7"/>
    <w:rsid w:val="6ED9112D"/>
    <w:rsid w:val="6EE200F5"/>
    <w:rsid w:val="6EE4126F"/>
    <w:rsid w:val="6EE87571"/>
    <w:rsid w:val="6EEC4AF9"/>
    <w:rsid w:val="6EFB700E"/>
    <w:rsid w:val="6EFE7C56"/>
    <w:rsid w:val="6F046D74"/>
    <w:rsid w:val="6F064554"/>
    <w:rsid w:val="6F094612"/>
    <w:rsid w:val="6F21539B"/>
    <w:rsid w:val="6F220356"/>
    <w:rsid w:val="6F287209"/>
    <w:rsid w:val="6F2C7C3D"/>
    <w:rsid w:val="6F3C1D7F"/>
    <w:rsid w:val="6F3F7004"/>
    <w:rsid w:val="6F4268A1"/>
    <w:rsid w:val="6F495ADB"/>
    <w:rsid w:val="6F50385D"/>
    <w:rsid w:val="6F531633"/>
    <w:rsid w:val="6F5E428B"/>
    <w:rsid w:val="6F64467A"/>
    <w:rsid w:val="6F665BB5"/>
    <w:rsid w:val="6F6A1FE6"/>
    <w:rsid w:val="6F6B393A"/>
    <w:rsid w:val="6F757C81"/>
    <w:rsid w:val="6F790816"/>
    <w:rsid w:val="6F7E799C"/>
    <w:rsid w:val="6FA00BBA"/>
    <w:rsid w:val="6FA172EA"/>
    <w:rsid w:val="6FA3785A"/>
    <w:rsid w:val="6FB908A6"/>
    <w:rsid w:val="6FC40B0E"/>
    <w:rsid w:val="6FCB689E"/>
    <w:rsid w:val="6FCE1FC1"/>
    <w:rsid w:val="6FD02518"/>
    <w:rsid w:val="6FE54C40"/>
    <w:rsid w:val="6FE8696D"/>
    <w:rsid w:val="6FEA60C4"/>
    <w:rsid w:val="6FEB42B7"/>
    <w:rsid w:val="6FF02CC3"/>
    <w:rsid w:val="70097A35"/>
    <w:rsid w:val="701110D2"/>
    <w:rsid w:val="70123790"/>
    <w:rsid w:val="70136325"/>
    <w:rsid w:val="701877E1"/>
    <w:rsid w:val="701900E6"/>
    <w:rsid w:val="70191BB1"/>
    <w:rsid w:val="7019465C"/>
    <w:rsid w:val="702A10FC"/>
    <w:rsid w:val="702C134F"/>
    <w:rsid w:val="702E62E0"/>
    <w:rsid w:val="705E66D9"/>
    <w:rsid w:val="706452DB"/>
    <w:rsid w:val="706538CB"/>
    <w:rsid w:val="706972A9"/>
    <w:rsid w:val="706B4BD8"/>
    <w:rsid w:val="7074433D"/>
    <w:rsid w:val="707F652B"/>
    <w:rsid w:val="708C797F"/>
    <w:rsid w:val="709D0E15"/>
    <w:rsid w:val="70A301C0"/>
    <w:rsid w:val="70AC27E2"/>
    <w:rsid w:val="70B34FF3"/>
    <w:rsid w:val="70B94B3E"/>
    <w:rsid w:val="70BC5FED"/>
    <w:rsid w:val="70C92A65"/>
    <w:rsid w:val="70D44E98"/>
    <w:rsid w:val="70DC7ACF"/>
    <w:rsid w:val="70DF469A"/>
    <w:rsid w:val="70EA27B8"/>
    <w:rsid w:val="70EB2810"/>
    <w:rsid w:val="70EC059D"/>
    <w:rsid w:val="711A1B90"/>
    <w:rsid w:val="711E5FCC"/>
    <w:rsid w:val="71224CAE"/>
    <w:rsid w:val="713F7DA8"/>
    <w:rsid w:val="714E33E3"/>
    <w:rsid w:val="714E4D66"/>
    <w:rsid w:val="71502205"/>
    <w:rsid w:val="715213CA"/>
    <w:rsid w:val="71571882"/>
    <w:rsid w:val="71582A70"/>
    <w:rsid w:val="716174A0"/>
    <w:rsid w:val="716567A7"/>
    <w:rsid w:val="71707E5B"/>
    <w:rsid w:val="71720075"/>
    <w:rsid w:val="717B2AE2"/>
    <w:rsid w:val="718C5B54"/>
    <w:rsid w:val="71953675"/>
    <w:rsid w:val="719D6584"/>
    <w:rsid w:val="71A2198A"/>
    <w:rsid w:val="71A72DDD"/>
    <w:rsid w:val="71BF04C5"/>
    <w:rsid w:val="71D81805"/>
    <w:rsid w:val="71DA77AF"/>
    <w:rsid w:val="71EC42BA"/>
    <w:rsid w:val="71F87ECA"/>
    <w:rsid w:val="72052226"/>
    <w:rsid w:val="72154FA8"/>
    <w:rsid w:val="721628F6"/>
    <w:rsid w:val="7226125C"/>
    <w:rsid w:val="724A24B1"/>
    <w:rsid w:val="724E214D"/>
    <w:rsid w:val="72563A5D"/>
    <w:rsid w:val="72636B06"/>
    <w:rsid w:val="7264583D"/>
    <w:rsid w:val="727803AF"/>
    <w:rsid w:val="72823333"/>
    <w:rsid w:val="728305C4"/>
    <w:rsid w:val="7284592B"/>
    <w:rsid w:val="728C0229"/>
    <w:rsid w:val="729A397C"/>
    <w:rsid w:val="72A4060F"/>
    <w:rsid w:val="72B0371E"/>
    <w:rsid w:val="72B612C7"/>
    <w:rsid w:val="72B63631"/>
    <w:rsid w:val="72B64E64"/>
    <w:rsid w:val="72CA060E"/>
    <w:rsid w:val="72D40442"/>
    <w:rsid w:val="72DC5C8E"/>
    <w:rsid w:val="72E4249E"/>
    <w:rsid w:val="72E469A8"/>
    <w:rsid w:val="72EF575A"/>
    <w:rsid w:val="72F27CF9"/>
    <w:rsid w:val="72FB7BD9"/>
    <w:rsid w:val="730A7FB3"/>
    <w:rsid w:val="730B7934"/>
    <w:rsid w:val="73122806"/>
    <w:rsid w:val="73123A32"/>
    <w:rsid w:val="731748F8"/>
    <w:rsid w:val="73177C41"/>
    <w:rsid w:val="731D36F6"/>
    <w:rsid w:val="73225BBB"/>
    <w:rsid w:val="73390822"/>
    <w:rsid w:val="733A6BAC"/>
    <w:rsid w:val="733E4E11"/>
    <w:rsid w:val="735321C7"/>
    <w:rsid w:val="73555B0C"/>
    <w:rsid w:val="735B4BDB"/>
    <w:rsid w:val="735F0CCA"/>
    <w:rsid w:val="736306A4"/>
    <w:rsid w:val="737B0C22"/>
    <w:rsid w:val="7382596C"/>
    <w:rsid w:val="73825A1E"/>
    <w:rsid w:val="73850583"/>
    <w:rsid w:val="738C5E7C"/>
    <w:rsid w:val="73944A31"/>
    <w:rsid w:val="739A125C"/>
    <w:rsid w:val="739D318E"/>
    <w:rsid w:val="73A94EB6"/>
    <w:rsid w:val="73BE113C"/>
    <w:rsid w:val="73BE373F"/>
    <w:rsid w:val="73BE6CC6"/>
    <w:rsid w:val="73BF31EE"/>
    <w:rsid w:val="73CC2136"/>
    <w:rsid w:val="73D679C6"/>
    <w:rsid w:val="73EA5BB1"/>
    <w:rsid w:val="73EE5384"/>
    <w:rsid w:val="73F57F43"/>
    <w:rsid w:val="7401390F"/>
    <w:rsid w:val="74075226"/>
    <w:rsid w:val="740B06E4"/>
    <w:rsid w:val="74183FBF"/>
    <w:rsid w:val="741D416E"/>
    <w:rsid w:val="741D4950"/>
    <w:rsid w:val="742911FB"/>
    <w:rsid w:val="742A69D9"/>
    <w:rsid w:val="742D5653"/>
    <w:rsid w:val="743A5794"/>
    <w:rsid w:val="74420201"/>
    <w:rsid w:val="74440B3A"/>
    <w:rsid w:val="744C6780"/>
    <w:rsid w:val="74581A9F"/>
    <w:rsid w:val="746309E1"/>
    <w:rsid w:val="74844FAE"/>
    <w:rsid w:val="748A4120"/>
    <w:rsid w:val="74B2357E"/>
    <w:rsid w:val="74BA672F"/>
    <w:rsid w:val="74BE18CA"/>
    <w:rsid w:val="74C17A95"/>
    <w:rsid w:val="74D04498"/>
    <w:rsid w:val="74D60FC8"/>
    <w:rsid w:val="74F90679"/>
    <w:rsid w:val="7510465D"/>
    <w:rsid w:val="75153331"/>
    <w:rsid w:val="751675C6"/>
    <w:rsid w:val="751E234A"/>
    <w:rsid w:val="751F0A8D"/>
    <w:rsid w:val="75235B09"/>
    <w:rsid w:val="75282985"/>
    <w:rsid w:val="75283185"/>
    <w:rsid w:val="75291B23"/>
    <w:rsid w:val="752954AE"/>
    <w:rsid w:val="752B29FF"/>
    <w:rsid w:val="752C07A3"/>
    <w:rsid w:val="752D4A09"/>
    <w:rsid w:val="7541469F"/>
    <w:rsid w:val="754428C8"/>
    <w:rsid w:val="754B3C0C"/>
    <w:rsid w:val="75513061"/>
    <w:rsid w:val="755D74C1"/>
    <w:rsid w:val="75770F5F"/>
    <w:rsid w:val="758227CF"/>
    <w:rsid w:val="75832BCA"/>
    <w:rsid w:val="75844813"/>
    <w:rsid w:val="75893C86"/>
    <w:rsid w:val="758F2244"/>
    <w:rsid w:val="759A34B1"/>
    <w:rsid w:val="759C3AA9"/>
    <w:rsid w:val="75A94884"/>
    <w:rsid w:val="75AF669D"/>
    <w:rsid w:val="75B556D4"/>
    <w:rsid w:val="75C230C5"/>
    <w:rsid w:val="75D43CC1"/>
    <w:rsid w:val="75D7582E"/>
    <w:rsid w:val="75D963AF"/>
    <w:rsid w:val="75DF0059"/>
    <w:rsid w:val="75E16E65"/>
    <w:rsid w:val="75ED524B"/>
    <w:rsid w:val="75EE6DCC"/>
    <w:rsid w:val="75EF1555"/>
    <w:rsid w:val="75F37BF3"/>
    <w:rsid w:val="75F47ED1"/>
    <w:rsid w:val="75F63E19"/>
    <w:rsid w:val="75FD24A8"/>
    <w:rsid w:val="760B1DDD"/>
    <w:rsid w:val="760F20FF"/>
    <w:rsid w:val="7617254D"/>
    <w:rsid w:val="76175E3B"/>
    <w:rsid w:val="761B769E"/>
    <w:rsid w:val="76237331"/>
    <w:rsid w:val="76307C60"/>
    <w:rsid w:val="7631445C"/>
    <w:rsid w:val="763C129F"/>
    <w:rsid w:val="76435CC1"/>
    <w:rsid w:val="76440CAA"/>
    <w:rsid w:val="76485B5D"/>
    <w:rsid w:val="764B7977"/>
    <w:rsid w:val="76513B47"/>
    <w:rsid w:val="765B52C1"/>
    <w:rsid w:val="766B419D"/>
    <w:rsid w:val="766E72A6"/>
    <w:rsid w:val="76780212"/>
    <w:rsid w:val="7679531B"/>
    <w:rsid w:val="767D5F57"/>
    <w:rsid w:val="76847102"/>
    <w:rsid w:val="768E7666"/>
    <w:rsid w:val="769A4483"/>
    <w:rsid w:val="76AE5D79"/>
    <w:rsid w:val="76B2134D"/>
    <w:rsid w:val="76B244FA"/>
    <w:rsid w:val="76B70B6A"/>
    <w:rsid w:val="76BC008C"/>
    <w:rsid w:val="76C41697"/>
    <w:rsid w:val="76CB16C1"/>
    <w:rsid w:val="76D43443"/>
    <w:rsid w:val="76D6321E"/>
    <w:rsid w:val="76D91D3D"/>
    <w:rsid w:val="76E64C85"/>
    <w:rsid w:val="76F23F01"/>
    <w:rsid w:val="76F77E01"/>
    <w:rsid w:val="76FE1DB2"/>
    <w:rsid w:val="76FE6C6B"/>
    <w:rsid w:val="77064B9B"/>
    <w:rsid w:val="770A34B8"/>
    <w:rsid w:val="770F6BA0"/>
    <w:rsid w:val="77206E10"/>
    <w:rsid w:val="77257ADF"/>
    <w:rsid w:val="7738034A"/>
    <w:rsid w:val="774159B9"/>
    <w:rsid w:val="7746259A"/>
    <w:rsid w:val="7758481F"/>
    <w:rsid w:val="77596911"/>
    <w:rsid w:val="775C2FA4"/>
    <w:rsid w:val="776A25EA"/>
    <w:rsid w:val="77716B79"/>
    <w:rsid w:val="7782380D"/>
    <w:rsid w:val="778267B4"/>
    <w:rsid w:val="77880D1C"/>
    <w:rsid w:val="779B1AC5"/>
    <w:rsid w:val="779D0E2B"/>
    <w:rsid w:val="779D33DE"/>
    <w:rsid w:val="77A649CC"/>
    <w:rsid w:val="77AB296E"/>
    <w:rsid w:val="77AF689F"/>
    <w:rsid w:val="77C24493"/>
    <w:rsid w:val="77C667FA"/>
    <w:rsid w:val="77E8657E"/>
    <w:rsid w:val="77EC2897"/>
    <w:rsid w:val="77EC61FD"/>
    <w:rsid w:val="77F36806"/>
    <w:rsid w:val="77F93B4C"/>
    <w:rsid w:val="77FB755F"/>
    <w:rsid w:val="77FD7E5B"/>
    <w:rsid w:val="78007DD2"/>
    <w:rsid w:val="78017245"/>
    <w:rsid w:val="780711CF"/>
    <w:rsid w:val="7816048A"/>
    <w:rsid w:val="781D6253"/>
    <w:rsid w:val="781F4150"/>
    <w:rsid w:val="78243C5C"/>
    <w:rsid w:val="782D4D7A"/>
    <w:rsid w:val="782E0619"/>
    <w:rsid w:val="78341D15"/>
    <w:rsid w:val="783600D3"/>
    <w:rsid w:val="783E732E"/>
    <w:rsid w:val="785B5C54"/>
    <w:rsid w:val="78607115"/>
    <w:rsid w:val="7862169D"/>
    <w:rsid w:val="78665EC5"/>
    <w:rsid w:val="78667A5E"/>
    <w:rsid w:val="786F1193"/>
    <w:rsid w:val="78894490"/>
    <w:rsid w:val="789427AB"/>
    <w:rsid w:val="78A2613D"/>
    <w:rsid w:val="78A86312"/>
    <w:rsid w:val="78AC7BCA"/>
    <w:rsid w:val="78B46940"/>
    <w:rsid w:val="78B65B43"/>
    <w:rsid w:val="78C25358"/>
    <w:rsid w:val="78C7544A"/>
    <w:rsid w:val="78CF30ED"/>
    <w:rsid w:val="78D0766D"/>
    <w:rsid w:val="78D307AD"/>
    <w:rsid w:val="78D65C6E"/>
    <w:rsid w:val="78D96C93"/>
    <w:rsid w:val="78DE17FF"/>
    <w:rsid w:val="78DF32FC"/>
    <w:rsid w:val="78E10E4C"/>
    <w:rsid w:val="78E475E3"/>
    <w:rsid w:val="78E82857"/>
    <w:rsid w:val="78EC0811"/>
    <w:rsid w:val="78ED022E"/>
    <w:rsid w:val="78F73DDA"/>
    <w:rsid w:val="78F8038E"/>
    <w:rsid w:val="78F904C1"/>
    <w:rsid w:val="79014CF7"/>
    <w:rsid w:val="79156572"/>
    <w:rsid w:val="791C7A87"/>
    <w:rsid w:val="791F23FF"/>
    <w:rsid w:val="791F509F"/>
    <w:rsid w:val="793A5986"/>
    <w:rsid w:val="794A2DB6"/>
    <w:rsid w:val="794F3D94"/>
    <w:rsid w:val="79500EFE"/>
    <w:rsid w:val="79582347"/>
    <w:rsid w:val="795C5CE4"/>
    <w:rsid w:val="795F678D"/>
    <w:rsid w:val="79695CBD"/>
    <w:rsid w:val="796B3F9B"/>
    <w:rsid w:val="796D254C"/>
    <w:rsid w:val="796E3B22"/>
    <w:rsid w:val="797411B9"/>
    <w:rsid w:val="797722DC"/>
    <w:rsid w:val="797F4635"/>
    <w:rsid w:val="79814B20"/>
    <w:rsid w:val="79956EDD"/>
    <w:rsid w:val="799A60BD"/>
    <w:rsid w:val="799E0359"/>
    <w:rsid w:val="79A00238"/>
    <w:rsid w:val="79A47E57"/>
    <w:rsid w:val="79AE2CC1"/>
    <w:rsid w:val="79B262D5"/>
    <w:rsid w:val="79B56C9E"/>
    <w:rsid w:val="79B81320"/>
    <w:rsid w:val="79B835C4"/>
    <w:rsid w:val="79C07901"/>
    <w:rsid w:val="79C36C17"/>
    <w:rsid w:val="79C744E8"/>
    <w:rsid w:val="79D9428A"/>
    <w:rsid w:val="79DE10B9"/>
    <w:rsid w:val="79E078FE"/>
    <w:rsid w:val="79F45E85"/>
    <w:rsid w:val="79F76D90"/>
    <w:rsid w:val="7A09415C"/>
    <w:rsid w:val="7A097A9F"/>
    <w:rsid w:val="7A115D4E"/>
    <w:rsid w:val="7A1215DC"/>
    <w:rsid w:val="7A144657"/>
    <w:rsid w:val="7A197BB7"/>
    <w:rsid w:val="7A37681E"/>
    <w:rsid w:val="7A3B3833"/>
    <w:rsid w:val="7A3E1C24"/>
    <w:rsid w:val="7A4835E8"/>
    <w:rsid w:val="7A4A1DF7"/>
    <w:rsid w:val="7A4A2BD3"/>
    <w:rsid w:val="7A590517"/>
    <w:rsid w:val="7A5D6653"/>
    <w:rsid w:val="7A7435CB"/>
    <w:rsid w:val="7A77304A"/>
    <w:rsid w:val="7A7B2154"/>
    <w:rsid w:val="7A8164E5"/>
    <w:rsid w:val="7A840A2F"/>
    <w:rsid w:val="7A8E2528"/>
    <w:rsid w:val="7A9224FE"/>
    <w:rsid w:val="7AB52AA8"/>
    <w:rsid w:val="7ABC3BA6"/>
    <w:rsid w:val="7AC04D3D"/>
    <w:rsid w:val="7ACB79DF"/>
    <w:rsid w:val="7AD11498"/>
    <w:rsid w:val="7AE46935"/>
    <w:rsid w:val="7AEA5A59"/>
    <w:rsid w:val="7AF9066B"/>
    <w:rsid w:val="7AFE619E"/>
    <w:rsid w:val="7B02493E"/>
    <w:rsid w:val="7B044A3E"/>
    <w:rsid w:val="7B1B2B7A"/>
    <w:rsid w:val="7B237F4E"/>
    <w:rsid w:val="7B275DC7"/>
    <w:rsid w:val="7B2B4B98"/>
    <w:rsid w:val="7B302190"/>
    <w:rsid w:val="7B366E8C"/>
    <w:rsid w:val="7B382F93"/>
    <w:rsid w:val="7B391549"/>
    <w:rsid w:val="7B51313A"/>
    <w:rsid w:val="7B5176D7"/>
    <w:rsid w:val="7B533539"/>
    <w:rsid w:val="7B5864AC"/>
    <w:rsid w:val="7B5E0A81"/>
    <w:rsid w:val="7B5E1D7E"/>
    <w:rsid w:val="7B5F53BF"/>
    <w:rsid w:val="7B674B95"/>
    <w:rsid w:val="7B682240"/>
    <w:rsid w:val="7B6F021A"/>
    <w:rsid w:val="7B712770"/>
    <w:rsid w:val="7B813CBC"/>
    <w:rsid w:val="7B85301F"/>
    <w:rsid w:val="7B8E7066"/>
    <w:rsid w:val="7B9C4EB4"/>
    <w:rsid w:val="7BA02670"/>
    <w:rsid w:val="7BA03CCC"/>
    <w:rsid w:val="7BA337AA"/>
    <w:rsid w:val="7BB35EBE"/>
    <w:rsid w:val="7BBA1F44"/>
    <w:rsid w:val="7BBC6097"/>
    <w:rsid w:val="7BC303E4"/>
    <w:rsid w:val="7BC60E51"/>
    <w:rsid w:val="7BC67077"/>
    <w:rsid w:val="7BE672C5"/>
    <w:rsid w:val="7BF03E5D"/>
    <w:rsid w:val="7BF56AC9"/>
    <w:rsid w:val="7BFA2E01"/>
    <w:rsid w:val="7C2442F9"/>
    <w:rsid w:val="7C3F2388"/>
    <w:rsid w:val="7C457F23"/>
    <w:rsid w:val="7C5667A2"/>
    <w:rsid w:val="7C5D07DA"/>
    <w:rsid w:val="7C621795"/>
    <w:rsid w:val="7C694CA9"/>
    <w:rsid w:val="7C6C6855"/>
    <w:rsid w:val="7C710497"/>
    <w:rsid w:val="7C7B7960"/>
    <w:rsid w:val="7C814E57"/>
    <w:rsid w:val="7C842FC6"/>
    <w:rsid w:val="7C930EE6"/>
    <w:rsid w:val="7C9E7157"/>
    <w:rsid w:val="7CA21CA8"/>
    <w:rsid w:val="7CA53A41"/>
    <w:rsid w:val="7CA61D32"/>
    <w:rsid w:val="7CAC5A08"/>
    <w:rsid w:val="7CB27D16"/>
    <w:rsid w:val="7CC01BDF"/>
    <w:rsid w:val="7CCD01EF"/>
    <w:rsid w:val="7CD802AD"/>
    <w:rsid w:val="7CE410CE"/>
    <w:rsid w:val="7CF24A77"/>
    <w:rsid w:val="7D097768"/>
    <w:rsid w:val="7D0E41B0"/>
    <w:rsid w:val="7D123DF0"/>
    <w:rsid w:val="7D1313D8"/>
    <w:rsid w:val="7D164322"/>
    <w:rsid w:val="7D260544"/>
    <w:rsid w:val="7D2A76C9"/>
    <w:rsid w:val="7D2C5FCD"/>
    <w:rsid w:val="7D396396"/>
    <w:rsid w:val="7D3A4538"/>
    <w:rsid w:val="7D3C6B50"/>
    <w:rsid w:val="7D455169"/>
    <w:rsid w:val="7D551C04"/>
    <w:rsid w:val="7D553764"/>
    <w:rsid w:val="7D626246"/>
    <w:rsid w:val="7D650CF4"/>
    <w:rsid w:val="7D686F2E"/>
    <w:rsid w:val="7D6C0204"/>
    <w:rsid w:val="7D6F31DD"/>
    <w:rsid w:val="7D753A51"/>
    <w:rsid w:val="7D7B6824"/>
    <w:rsid w:val="7D834475"/>
    <w:rsid w:val="7D865931"/>
    <w:rsid w:val="7D8672C9"/>
    <w:rsid w:val="7D88153F"/>
    <w:rsid w:val="7D9D56E8"/>
    <w:rsid w:val="7D9E646B"/>
    <w:rsid w:val="7DA030E8"/>
    <w:rsid w:val="7DA85E7C"/>
    <w:rsid w:val="7DAF3F0B"/>
    <w:rsid w:val="7DB82F14"/>
    <w:rsid w:val="7DBC14DD"/>
    <w:rsid w:val="7DCE66D1"/>
    <w:rsid w:val="7DD07BE7"/>
    <w:rsid w:val="7DE251E9"/>
    <w:rsid w:val="7DFB12B6"/>
    <w:rsid w:val="7E0E0FAF"/>
    <w:rsid w:val="7E15502D"/>
    <w:rsid w:val="7E191A49"/>
    <w:rsid w:val="7E1B6AD0"/>
    <w:rsid w:val="7E1E5CF9"/>
    <w:rsid w:val="7E2D2FD1"/>
    <w:rsid w:val="7E51129A"/>
    <w:rsid w:val="7E514B00"/>
    <w:rsid w:val="7E517B83"/>
    <w:rsid w:val="7E575369"/>
    <w:rsid w:val="7E581720"/>
    <w:rsid w:val="7E592E6E"/>
    <w:rsid w:val="7E5A4FD2"/>
    <w:rsid w:val="7E727B75"/>
    <w:rsid w:val="7E744036"/>
    <w:rsid w:val="7E757AF7"/>
    <w:rsid w:val="7E7D5448"/>
    <w:rsid w:val="7E7E6921"/>
    <w:rsid w:val="7E833662"/>
    <w:rsid w:val="7E8343AD"/>
    <w:rsid w:val="7E853851"/>
    <w:rsid w:val="7E873F5B"/>
    <w:rsid w:val="7E877CED"/>
    <w:rsid w:val="7E8A5BA1"/>
    <w:rsid w:val="7E8A75DA"/>
    <w:rsid w:val="7E9D0713"/>
    <w:rsid w:val="7E9E4582"/>
    <w:rsid w:val="7EAA50AD"/>
    <w:rsid w:val="7EAC102F"/>
    <w:rsid w:val="7EAC5562"/>
    <w:rsid w:val="7EB14263"/>
    <w:rsid w:val="7EC3150E"/>
    <w:rsid w:val="7EDA143E"/>
    <w:rsid w:val="7EDD6824"/>
    <w:rsid w:val="7EE127C8"/>
    <w:rsid w:val="7EEC7760"/>
    <w:rsid w:val="7F091A42"/>
    <w:rsid w:val="7F14706E"/>
    <w:rsid w:val="7F1A4407"/>
    <w:rsid w:val="7F1B511A"/>
    <w:rsid w:val="7F1D0AA7"/>
    <w:rsid w:val="7F1D3723"/>
    <w:rsid w:val="7F355092"/>
    <w:rsid w:val="7F405483"/>
    <w:rsid w:val="7F417B69"/>
    <w:rsid w:val="7F5127F8"/>
    <w:rsid w:val="7F516F67"/>
    <w:rsid w:val="7F5325F0"/>
    <w:rsid w:val="7F5B201D"/>
    <w:rsid w:val="7F6B08C8"/>
    <w:rsid w:val="7F6F6CED"/>
    <w:rsid w:val="7F735319"/>
    <w:rsid w:val="7FA45F84"/>
    <w:rsid w:val="7FAB51F9"/>
    <w:rsid w:val="7FB24872"/>
    <w:rsid w:val="7FBD7CD7"/>
    <w:rsid w:val="7FCC08D8"/>
    <w:rsid w:val="7FCF0987"/>
    <w:rsid w:val="7FCF71C2"/>
    <w:rsid w:val="7FDE26C5"/>
    <w:rsid w:val="7FEB71CB"/>
    <w:rsid w:val="7F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unhideWhenUsed/>
    <w:qFormat/>
    <w:uiPriority w:val="99"/>
    <w:rPr>
      <w:sz w:val="18"/>
    </w:rPr>
  </w:style>
  <w:style w:type="paragraph" w:customStyle="1" w:styleId="6">
    <w:name w:val="正文 + (中文) 仿宋_GB2312"/>
    <w:basedOn w:val="1"/>
    <w:qFormat/>
    <w:uiPriority w:val="0"/>
    <w:pPr>
      <w:adjustRightInd w:val="0"/>
      <w:snapToGrid w:val="0"/>
      <w:spacing w:line="560" w:lineRule="exact"/>
    </w:pPr>
    <w:rPr>
      <w:rFonts w:eastAsia="仿宋_GB2312"/>
      <w:sz w:val="30"/>
      <w:szCs w:val="30"/>
    </w:rPr>
  </w:style>
  <w:style w:type="paragraph" w:customStyle="1" w:styleId="7">
    <w:name w:val="标准正文"/>
    <w:qFormat/>
    <w:uiPriority w:val="99"/>
    <w:pPr>
      <w:spacing w:line="360" w:lineRule="auto"/>
      <w:ind w:firstLine="20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2026-04-01T06:27:00Z</dcterms:created>
  <dc:creator>江杨</dc:creator>
  <cp:lastModifiedBy>江杨</cp:lastModifiedBy>
  <dcterms:modified xsi:type="dcterms:W3CDTF">2026-04-22T10:34:14Z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6D729CD205584F668808982EFE9EEA4D</vt:lpwstr>
  </property>
</Properties>
</file>